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D91AC" w14:textId="7FD3313B" w:rsidR="00DA4E69" w:rsidRPr="00602C4C" w:rsidRDefault="00602C4C" w:rsidP="00602C4C">
      <w:pPr>
        <w:spacing w:after="0" w:line="240" w:lineRule="auto"/>
        <w:jc w:val="right"/>
        <w:rPr>
          <w:rFonts w:ascii="Georgia" w:hAnsi="Georgia"/>
          <w:b/>
          <w:i/>
          <w:iCs/>
          <w:sz w:val="20"/>
          <w:szCs w:val="20"/>
        </w:rPr>
      </w:pPr>
      <w:r w:rsidRPr="00602C4C">
        <w:rPr>
          <w:rFonts w:ascii="Georgia" w:hAnsi="Georgia"/>
          <w:b/>
          <w:i/>
          <w:iCs/>
          <w:sz w:val="20"/>
          <w:szCs w:val="20"/>
        </w:rPr>
        <w:t>Anexa nr.1</w:t>
      </w:r>
    </w:p>
    <w:p w14:paraId="7DFA4946" w14:textId="77777777" w:rsidR="00DA4E69" w:rsidRPr="00CF2A9C" w:rsidRDefault="00DA4E69" w:rsidP="00DA4E69">
      <w:pPr>
        <w:spacing w:after="0" w:line="240" w:lineRule="auto"/>
        <w:jc w:val="center"/>
        <w:rPr>
          <w:rFonts w:ascii="Georgia" w:hAnsi="Georgia"/>
          <w:b/>
          <w:sz w:val="20"/>
          <w:szCs w:val="20"/>
          <w:u w:val="single"/>
        </w:rPr>
      </w:pPr>
    </w:p>
    <w:p w14:paraId="05DA01D0" w14:textId="77777777" w:rsidR="00DA4E69" w:rsidRPr="00CF2A9C" w:rsidRDefault="00DA4E69" w:rsidP="00DA4E69">
      <w:pPr>
        <w:spacing w:after="0" w:line="24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CF2A9C">
        <w:rPr>
          <w:rFonts w:ascii="Georgia" w:hAnsi="Georgia"/>
          <w:b/>
          <w:sz w:val="24"/>
          <w:szCs w:val="24"/>
          <w:u w:val="single"/>
        </w:rPr>
        <w:t>CAIET DE SARCINI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 xml:space="preserve"> </w:t>
      </w:r>
      <w:r>
        <w:rPr>
          <w:rFonts w:ascii="Georgia" w:hAnsi="Georgia"/>
          <w:b/>
          <w:sz w:val="24"/>
          <w:szCs w:val="24"/>
          <w:u w:val="single"/>
        </w:rPr>
        <w:t xml:space="preserve">ȘI 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>SPECIFICAȚI</w:t>
      </w:r>
      <w:r>
        <w:rPr>
          <w:rFonts w:ascii="Georgia" w:hAnsi="Georgia"/>
          <w:b/>
          <w:sz w:val="24"/>
          <w:szCs w:val="24"/>
          <w:u w:val="single"/>
        </w:rPr>
        <w:t>E</w:t>
      </w:r>
      <w:r w:rsidRPr="005B1DB8">
        <w:rPr>
          <w:rFonts w:ascii="Georgia" w:hAnsi="Georgia"/>
          <w:b/>
          <w:sz w:val="24"/>
          <w:szCs w:val="24"/>
          <w:u w:val="single"/>
          <w:lang w:val="fr-FR"/>
        </w:rPr>
        <w:t xml:space="preserve"> DE PREȚ</w:t>
      </w:r>
    </w:p>
    <w:p w14:paraId="178433F3" w14:textId="7777777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Cs/>
          <w:sz w:val="10"/>
          <w:szCs w:val="10"/>
        </w:rPr>
      </w:pPr>
    </w:p>
    <w:p w14:paraId="45C9AB46" w14:textId="77777777" w:rsidR="00DA4E69" w:rsidRPr="00CF2A9C" w:rsidRDefault="00DA4E69" w:rsidP="00DA4E69">
      <w:pPr>
        <w:spacing w:after="0" w:line="240" w:lineRule="auto"/>
        <w:jc w:val="center"/>
        <w:rPr>
          <w:rFonts w:ascii="Georgia" w:hAnsi="Georgia"/>
        </w:rPr>
      </w:pPr>
      <w:r w:rsidRPr="00CF2A9C">
        <w:rPr>
          <w:rFonts w:ascii="Georgia" w:hAnsi="Georgia"/>
          <w:b/>
          <w:sz w:val="24"/>
          <w:szCs w:val="24"/>
        </w:rPr>
        <w:t xml:space="preserve">cu privire la lucrările planificate </w:t>
      </w:r>
      <w:bookmarkStart w:id="0" w:name="_Hlk189232147"/>
      <w:r w:rsidRPr="00CF2A9C">
        <w:rPr>
          <w:rFonts w:ascii="Georgia" w:hAnsi="Georgia"/>
          <w:b/>
          <w:sz w:val="24"/>
          <w:szCs w:val="24"/>
        </w:rPr>
        <w:t>pentru întreținerea sistemului</w:t>
      </w:r>
    </w:p>
    <w:p w14:paraId="64BC6688" w14:textId="77777777" w:rsidR="00DA4E69" w:rsidRPr="00CF2A9C" w:rsidRDefault="00DA4E69" w:rsidP="00DA4E69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CF2A9C">
        <w:rPr>
          <w:rFonts w:ascii="Georgia" w:hAnsi="Georgia"/>
          <w:b/>
          <w:sz w:val="24"/>
          <w:szCs w:val="24"/>
        </w:rPr>
        <w:t>de tip VRV</w:t>
      </w:r>
      <w:r w:rsidRPr="00CF2A9C">
        <w:rPr>
          <w:rFonts w:ascii="Georgia" w:hAnsi="Georgia"/>
        </w:rPr>
        <w:t xml:space="preserve"> </w:t>
      </w:r>
      <w:r w:rsidRPr="00CF2A9C">
        <w:rPr>
          <w:rFonts w:ascii="Georgia" w:hAnsi="Georgia"/>
          <w:b/>
          <w:bCs/>
          <w:sz w:val="24"/>
          <w:szCs w:val="24"/>
        </w:rPr>
        <w:t>din sediul central al Parlamentului</w:t>
      </w:r>
      <w:r w:rsidRPr="00CF2A9C">
        <w:rPr>
          <w:rFonts w:ascii="Georgia" w:hAnsi="Georgia"/>
          <w:b/>
          <w:sz w:val="24"/>
          <w:szCs w:val="24"/>
        </w:rPr>
        <w:t xml:space="preserve"> </w:t>
      </w:r>
      <w:bookmarkEnd w:id="0"/>
      <w:r w:rsidRPr="00CF2A9C">
        <w:rPr>
          <w:rFonts w:ascii="Georgia" w:hAnsi="Georgia"/>
          <w:b/>
          <w:sz w:val="24"/>
          <w:szCs w:val="24"/>
        </w:rPr>
        <w:t>pentru anul 202</w:t>
      </w:r>
      <w:r>
        <w:rPr>
          <w:rFonts w:ascii="Georgia" w:hAnsi="Georgia"/>
          <w:b/>
          <w:sz w:val="24"/>
          <w:szCs w:val="24"/>
        </w:rPr>
        <w:t>6</w:t>
      </w:r>
    </w:p>
    <w:p w14:paraId="2AB661E6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b/>
          <w:sz w:val="20"/>
          <w:szCs w:val="20"/>
        </w:rPr>
      </w:pPr>
    </w:p>
    <w:p w14:paraId="31D67D03" w14:textId="77777777" w:rsidR="00DA4E69" w:rsidRDefault="00DA4E69" w:rsidP="00DA4E69">
      <w:pPr>
        <w:spacing w:after="0" w:line="240" w:lineRule="auto"/>
        <w:jc w:val="both"/>
        <w:rPr>
          <w:rFonts w:ascii="Georgia" w:hAnsi="Georgia"/>
          <w:b/>
          <w:sz w:val="20"/>
          <w:szCs w:val="20"/>
        </w:rPr>
      </w:pPr>
    </w:p>
    <w:p w14:paraId="24F5F48B" w14:textId="2F3A4B88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/>
          <w:i/>
        </w:rPr>
      </w:pPr>
      <w:r w:rsidRPr="005B1DB8">
        <w:rPr>
          <w:rFonts w:ascii="Georgia" w:hAnsi="Georgia"/>
          <w:b/>
          <w:i/>
        </w:rPr>
        <w:t>I. Servicii de deservire curentă</w:t>
      </w:r>
      <w:r w:rsidRPr="005B1DB8">
        <w:rPr>
          <w:rFonts w:ascii="Georgia" w:hAnsi="Georgia"/>
          <w:b/>
        </w:rPr>
        <w:t xml:space="preserve"> </w:t>
      </w:r>
      <w:r w:rsidRPr="005B1DB8">
        <w:rPr>
          <w:rFonts w:ascii="Georgia" w:hAnsi="Georgia"/>
          <w:b/>
          <w:i/>
          <w:iCs/>
        </w:rPr>
        <w:t>a sistemului</w:t>
      </w:r>
      <w:r w:rsidR="00602C4C">
        <w:rPr>
          <w:rFonts w:ascii="Georgia" w:hAnsi="Georgia"/>
          <w:b/>
          <w:i/>
          <w:iCs/>
        </w:rPr>
        <w:t xml:space="preserve"> de condiționare</w:t>
      </w:r>
      <w:r w:rsidRPr="005B1DB8">
        <w:rPr>
          <w:rFonts w:ascii="Georgia" w:hAnsi="Georgia"/>
          <w:b/>
          <w:i/>
          <w:iCs/>
        </w:rPr>
        <w:t xml:space="preserve"> de tip</w:t>
      </w:r>
      <w:r w:rsidRPr="005B1DB8">
        <w:rPr>
          <w:rFonts w:ascii="Georgia" w:hAnsi="Georgia"/>
          <w:b/>
        </w:rPr>
        <w:t xml:space="preserve"> </w:t>
      </w:r>
      <w:r w:rsidRPr="005B1DB8">
        <w:rPr>
          <w:rFonts w:ascii="Georgia" w:hAnsi="Georgia"/>
          <w:b/>
          <w:i/>
          <w:iCs/>
        </w:rPr>
        <w:t>VRV</w:t>
      </w:r>
    </w:p>
    <w:p w14:paraId="0AB33C89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0"/>
          <w:szCs w:val="10"/>
        </w:rPr>
      </w:pPr>
    </w:p>
    <w:p w14:paraId="1926048D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1. Inspecția corpului și a unităților aparatului de aer condiționat, efectuată pentru a identifica deteriorarea mecanică externă a sistemului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</w:rPr>
        <w:t>.</w:t>
      </w:r>
    </w:p>
    <w:p w14:paraId="62895236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  <w:bCs/>
          <w:iCs/>
        </w:rPr>
      </w:pPr>
      <w:r w:rsidRPr="005B1DB8">
        <w:rPr>
          <w:rFonts w:ascii="Georgia" w:hAnsi="Georgia"/>
        </w:rPr>
        <w:t xml:space="preserve">2. Verificarea funcționării pompei de scurgere (dacă este disponibilă în sistemul de aer condiționat), precum și curățarea pompei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4923DC46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  <w:bCs/>
          <w:iCs/>
        </w:rPr>
      </w:pPr>
      <w:r w:rsidRPr="005B1DB8">
        <w:rPr>
          <w:rFonts w:ascii="Georgia" w:hAnsi="Georgia"/>
        </w:rPr>
        <w:t xml:space="preserve">3. Monitorizarea funcționării telecomenzii sistemului și reprogramarea acesteia </w:t>
      </w:r>
      <w:r w:rsidRPr="005B1DB8">
        <w:rPr>
          <w:rFonts w:ascii="Georgia" w:hAnsi="Georgia"/>
          <w:bCs/>
          <w:iCs/>
        </w:rPr>
        <w:t xml:space="preserve">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/>
        </w:rPr>
        <w:t xml:space="preserve"> și la necesitate</w:t>
      </w:r>
      <w:r w:rsidRPr="005B1DB8">
        <w:rPr>
          <w:rFonts w:ascii="Georgia" w:hAnsi="Georgia"/>
          <w:bCs/>
          <w:iCs/>
        </w:rPr>
        <w:t>.</w:t>
      </w:r>
    </w:p>
    <w:p w14:paraId="7FC65087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4. Monitorizarea stării paletelor ventilatorului și a motoarelor electrice ale sistemului de aer condiționat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760C48D8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5. Controlul/testarea funcționării echipamentelor în toate modurile, inclusiv verificarea funcționalității sistemului de indicare a modului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505385C5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6. Efectuarea măsurătorilor de control ale temperaturii aerului care intră și iese din unitatea interioară a sistemului cu mai multe zone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2F3FC7C9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7. Tragerea conexiunilor realizate prin intermediul terminalelor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3CE02F1B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8. Verificări de sistem referitoare la eventuale scurgeri de freon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/>
        </w:rPr>
        <w:t xml:space="preserve"> și la necesitate</w:t>
      </w:r>
      <w:r w:rsidRPr="005B1DB8">
        <w:rPr>
          <w:rFonts w:ascii="Georgia" w:hAnsi="Georgia"/>
          <w:bCs/>
          <w:iCs/>
        </w:rPr>
        <w:t>.</w:t>
      </w:r>
    </w:p>
    <w:p w14:paraId="7F7BE46A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  <w:bCs/>
          <w:iCs/>
        </w:rPr>
      </w:pPr>
      <w:r w:rsidRPr="005B1DB8">
        <w:rPr>
          <w:rFonts w:ascii="Georgia" w:hAnsi="Georgia"/>
        </w:rPr>
        <w:t xml:space="preserve">9. Măsurarea curenților de funcționare și de pornire ai compresorului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/>
        </w:rPr>
        <w:t xml:space="preserve"> și la necesitate</w:t>
      </w:r>
      <w:r w:rsidRPr="005B1DB8">
        <w:rPr>
          <w:rFonts w:ascii="Georgia" w:hAnsi="Georgia"/>
          <w:bCs/>
          <w:iCs/>
        </w:rPr>
        <w:t>.</w:t>
      </w:r>
    </w:p>
    <w:p w14:paraId="4EF6ACE5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  <w:bCs/>
          <w:iCs/>
        </w:rPr>
      </w:pPr>
      <w:r w:rsidRPr="005B1DB8">
        <w:rPr>
          <w:rFonts w:ascii="Georgia" w:hAnsi="Georgia"/>
        </w:rPr>
        <w:t xml:space="preserve">10. Monitorizarea funcționării compresoarelor sistemului pentru prezența zgomotului străin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</w:p>
    <w:p w14:paraId="6853A6BB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11. Monitorizarea integrității sistemului care asigură trecerea agentului frigorific, inclusiv măsurarea parametrilor presiunii de refulare/aspirație, cu adăugarea agentului frigorific la sistem, dacă este necesar – </w:t>
      </w:r>
      <w:r w:rsidRPr="005B1DB8">
        <w:rPr>
          <w:rFonts w:ascii="Georgia" w:hAnsi="Georgia"/>
          <w:i/>
          <w:iCs/>
        </w:rPr>
        <w:t>semestrial</w:t>
      </w:r>
      <w:r w:rsidRPr="005B1DB8">
        <w:rPr>
          <w:rFonts w:ascii="Georgia" w:hAnsi="Georgia"/>
          <w:bCs/>
          <w:iCs/>
        </w:rPr>
        <w:t>.</w:t>
      </w:r>
      <w:r w:rsidRPr="005B1DB8">
        <w:rPr>
          <w:rFonts w:ascii="Georgia" w:hAnsi="Georgia"/>
        </w:rPr>
        <w:t xml:space="preserve"> </w:t>
      </w:r>
    </w:p>
    <w:p w14:paraId="6C303018" w14:textId="77777777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12. Înaintarea recomandărilor și concluziilor cu privire la funcționalitatea  sistemului, cu prezentarea actului de defecțiuni tehnice </w:t>
      </w:r>
      <w:r w:rsidRPr="005B1DB8">
        <w:rPr>
          <w:rFonts w:ascii="Georgia" w:hAnsi="Georgia"/>
          <w:bCs/>
          <w:iCs/>
        </w:rPr>
        <w:t xml:space="preserve">– </w:t>
      </w:r>
      <w:r w:rsidRPr="005B1DB8">
        <w:rPr>
          <w:rFonts w:ascii="Georgia" w:hAnsi="Georgia"/>
          <w:bCs/>
          <w:i/>
        </w:rPr>
        <w:t>la necesitate</w:t>
      </w:r>
      <w:r w:rsidRPr="005B1DB8">
        <w:rPr>
          <w:rFonts w:ascii="Georgia" w:hAnsi="Georgia"/>
          <w:bCs/>
          <w:iCs/>
        </w:rPr>
        <w:t>.</w:t>
      </w:r>
    </w:p>
    <w:p w14:paraId="0FB1F299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3D94D5AD" w14:textId="77777777" w:rsidR="00DA4E69" w:rsidRDefault="00DA4E69" w:rsidP="00DA4E69">
      <w:pPr>
        <w:spacing w:after="0" w:line="240" w:lineRule="auto"/>
        <w:jc w:val="both"/>
        <w:rPr>
          <w:rFonts w:ascii="Georgia" w:hAnsi="Georgia"/>
        </w:rPr>
      </w:pPr>
    </w:p>
    <w:p w14:paraId="5FBD5C9C" w14:textId="2F330FC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/>
          <w:i/>
        </w:rPr>
      </w:pPr>
      <w:r w:rsidRPr="005B1DB8">
        <w:rPr>
          <w:rFonts w:ascii="Georgia" w:hAnsi="Georgia"/>
          <w:b/>
          <w:i/>
        </w:rPr>
        <w:t xml:space="preserve">2. Servicii de deservire planificată </w:t>
      </w:r>
      <w:r w:rsidRPr="005B1DB8">
        <w:rPr>
          <w:rFonts w:ascii="Georgia" w:hAnsi="Georgia"/>
          <w:b/>
          <w:i/>
          <w:iCs/>
        </w:rPr>
        <w:t>a sistemului</w:t>
      </w:r>
      <w:r w:rsidR="00602C4C" w:rsidRPr="00602C4C">
        <w:t xml:space="preserve"> </w:t>
      </w:r>
      <w:r w:rsidR="00602C4C" w:rsidRPr="00602C4C">
        <w:rPr>
          <w:rFonts w:ascii="Georgia" w:hAnsi="Georgia"/>
          <w:b/>
          <w:i/>
          <w:iCs/>
        </w:rPr>
        <w:t>de condiționare</w:t>
      </w:r>
      <w:r w:rsidRPr="005B1DB8">
        <w:rPr>
          <w:rFonts w:ascii="Georgia" w:hAnsi="Georgia"/>
          <w:b/>
          <w:i/>
          <w:iCs/>
        </w:rPr>
        <w:t xml:space="preserve"> de tip</w:t>
      </w:r>
      <w:r w:rsidRPr="005B1DB8">
        <w:rPr>
          <w:rFonts w:ascii="Georgia" w:hAnsi="Georgia"/>
          <w:b/>
        </w:rPr>
        <w:t xml:space="preserve"> </w:t>
      </w:r>
      <w:r w:rsidRPr="005B1DB8">
        <w:rPr>
          <w:rFonts w:ascii="Georgia" w:hAnsi="Georgia"/>
          <w:b/>
          <w:i/>
          <w:iCs/>
        </w:rPr>
        <w:t>VRV</w:t>
      </w:r>
    </w:p>
    <w:p w14:paraId="7E96A60F" w14:textId="7777777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Cs/>
          <w:i/>
        </w:rPr>
      </w:pPr>
      <w:r w:rsidRPr="005B1DB8">
        <w:rPr>
          <w:rFonts w:ascii="Georgia" w:hAnsi="Georgia"/>
          <w:bCs/>
          <w:i/>
        </w:rPr>
        <w:t>(248 blocuri interioare și 16 blocuri exterioare)</w:t>
      </w:r>
    </w:p>
    <w:p w14:paraId="746D8209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0"/>
          <w:szCs w:val="10"/>
        </w:rPr>
      </w:pPr>
    </w:p>
    <w:p w14:paraId="28228563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1. Monitorizarea funcționării sistemului de drenaj, curățarea acestuia și tratarea sistemului cu o compoziție antibacteriană – </w:t>
      </w:r>
      <w:r w:rsidRPr="005B1DB8">
        <w:rPr>
          <w:rFonts w:ascii="Georgia" w:hAnsi="Georgia"/>
          <w:i/>
          <w:iCs/>
        </w:rPr>
        <w:t>anual</w:t>
      </w:r>
      <w:r w:rsidRPr="005B1DB8">
        <w:rPr>
          <w:rFonts w:ascii="Georgia" w:hAnsi="Georgia"/>
        </w:rPr>
        <w:t>.</w:t>
      </w:r>
    </w:p>
    <w:p w14:paraId="4F63F304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2. Curățarea de înaltă calitate a schimbătorului de căldură din blocul intern al sistemului și tratarea cu un compus care îi dezinfectează suprafața – </w:t>
      </w:r>
      <w:r w:rsidRPr="005B1DB8">
        <w:rPr>
          <w:rFonts w:ascii="Georgia" w:hAnsi="Georgia"/>
          <w:i/>
          <w:iCs/>
        </w:rPr>
        <w:t>anual</w:t>
      </w:r>
      <w:r w:rsidRPr="005B1DB8">
        <w:rPr>
          <w:rFonts w:ascii="Georgia" w:hAnsi="Georgia"/>
        </w:rPr>
        <w:t>.</w:t>
      </w:r>
    </w:p>
    <w:p w14:paraId="486EC84E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3. Curățarea mecanică și hidraulică a schimbătorului de căldură și a carcasei unității exterioare cu ajutorul unui compresor și/sau a unei mașini de spălat de înaltă presiune – </w:t>
      </w:r>
      <w:r w:rsidRPr="005B1DB8">
        <w:rPr>
          <w:rFonts w:ascii="Georgia" w:hAnsi="Georgia"/>
          <w:i/>
          <w:iCs/>
        </w:rPr>
        <w:t>anual</w:t>
      </w:r>
      <w:r w:rsidRPr="005B1DB8">
        <w:rPr>
          <w:rFonts w:ascii="Georgia" w:hAnsi="Georgia"/>
        </w:rPr>
        <w:t>.</w:t>
      </w:r>
    </w:p>
    <w:p w14:paraId="5D0728BC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4. Curățarea completă a filtrelor de aer din unitatea interioară și a grilelor de admisie a aerului din sistemul de aer condiționat – </w:t>
      </w:r>
      <w:r w:rsidRPr="005B1DB8">
        <w:rPr>
          <w:rFonts w:ascii="Georgia" w:hAnsi="Georgia"/>
          <w:i/>
          <w:iCs/>
        </w:rPr>
        <w:t>anual</w:t>
      </w:r>
      <w:r w:rsidRPr="005B1DB8">
        <w:rPr>
          <w:rFonts w:ascii="Georgia" w:hAnsi="Georgia"/>
        </w:rPr>
        <w:t>.</w:t>
      </w:r>
    </w:p>
    <w:p w14:paraId="76B28A50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</w:p>
    <w:p w14:paraId="3A710CFC" w14:textId="54923DEB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  <w:b/>
          <w:bCs/>
          <w:sz w:val="20"/>
          <w:szCs w:val="20"/>
        </w:rPr>
      </w:pPr>
      <w:r w:rsidRPr="005B1DB8">
        <w:rPr>
          <w:rFonts w:ascii="Georgia" w:hAnsi="Georgia"/>
          <w:b/>
          <w:bCs/>
          <w:sz w:val="20"/>
          <w:szCs w:val="20"/>
        </w:rPr>
        <w:t xml:space="preserve">Notă: lucrările vor fi executate în perioada </w:t>
      </w:r>
      <w:r w:rsidR="00602C4C">
        <w:rPr>
          <w:rFonts w:ascii="Georgia" w:hAnsi="Georgia"/>
          <w:b/>
          <w:bCs/>
          <w:sz w:val="20"/>
          <w:szCs w:val="20"/>
          <w:u w:val="single"/>
        </w:rPr>
        <w:t>aprilie</w:t>
      </w:r>
      <w:r w:rsidRPr="005B1DB8">
        <w:rPr>
          <w:rFonts w:ascii="Georgia" w:hAnsi="Georgia"/>
          <w:b/>
          <w:bCs/>
          <w:sz w:val="20"/>
          <w:szCs w:val="20"/>
          <w:u w:val="single"/>
        </w:rPr>
        <w:t>–mai 2026</w:t>
      </w:r>
      <w:r w:rsidRPr="005B1DB8">
        <w:rPr>
          <w:rFonts w:ascii="Georgia" w:hAnsi="Georgia"/>
          <w:b/>
          <w:bCs/>
          <w:sz w:val="20"/>
          <w:szCs w:val="20"/>
        </w:rPr>
        <w:t>.</w:t>
      </w:r>
    </w:p>
    <w:p w14:paraId="1E0BE502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</w:rPr>
      </w:pPr>
    </w:p>
    <w:p w14:paraId="1965F059" w14:textId="77777777" w:rsidR="00DA4E69" w:rsidRDefault="00DA4E69" w:rsidP="00DA4E69">
      <w:pPr>
        <w:spacing w:after="0" w:line="240" w:lineRule="auto"/>
        <w:jc w:val="both"/>
        <w:rPr>
          <w:rFonts w:ascii="Georgia" w:hAnsi="Georgia"/>
          <w:bCs/>
          <w:iCs/>
        </w:rPr>
      </w:pPr>
    </w:p>
    <w:p w14:paraId="040488C7" w14:textId="77777777" w:rsidR="00DA4E69" w:rsidRDefault="00DA4E69" w:rsidP="00DA4E69">
      <w:pPr>
        <w:spacing w:after="0" w:line="240" w:lineRule="auto"/>
        <w:jc w:val="center"/>
        <w:rPr>
          <w:rFonts w:ascii="Georgia" w:eastAsia="Times New Roman" w:hAnsi="Georgia" w:cs="Times New Roman"/>
          <w:b/>
          <w:i/>
        </w:rPr>
      </w:pPr>
      <w:r>
        <w:rPr>
          <w:rFonts w:ascii="Georgia" w:hAnsi="Georgia"/>
          <w:b/>
          <w:i/>
        </w:rPr>
        <w:t>III</w:t>
      </w:r>
      <w:r w:rsidRPr="005B1DB8">
        <w:rPr>
          <w:rFonts w:ascii="Georgia" w:hAnsi="Georgia"/>
          <w:b/>
          <w:i/>
        </w:rPr>
        <w:t xml:space="preserve">. Servicii și </w:t>
      </w:r>
      <w:bookmarkStart w:id="1" w:name="_Hlk189051584"/>
      <w:r w:rsidRPr="005B1DB8">
        <w:rPr>
          <w:rFonts w:ascii="Georgia" w:hAnsi="Georgia"/>
          <w:b/>
          <w:i/>
        </w:rPr>
        <w:t xml:space="preserve">lucrări de reparație </w:t>
      </w:r>
      <w:bookmarkEnd w:id="1"/>
      <w:r w:rsidRPr="005B1DB8">
        <w:rPr>
          <w:rFonts w:ascii="Georgia" w:hAnsi="Georgia"/>
          <w:b/>
          <w:i/>
        </w:rPr>
        <w:t xml:space="preserve">a </w:t>
      </w:r>
      <w:r w:rsidRPr="005B1DB8">
        <w:rPr>
          <w:rFonts w:ascii="Georgia" w:eastAsia="Times New Roman" w:hAnsi="Georgia" w:cs="Times New Roman"/>
          <w:b/>
          <w:i/>
        </w:rPr>
        <w:t xml:space="preserve">sistemului </w:t>
      </w:r>
    </w:p>
    <w:p w14:paraId="3CFFDE56" w14:textId="7777777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/>
          <w:i/>
        </w:rPr>
      </w:pPr>
      <w:r w:rsidRPr="005B1DB8">
        <w:rPr>
          <w:rFonts w:ascii="Georgia" w:eastAsia="Times New Roman" w:hAnsi="Georgia" w:cs="Times New Roman"/>
          <w:b/>
          <w:i/>
        </w:rPr>
        <w:t>de condiționare VRV al clădirii Parlamentului</w:t>
      </w:r>
      <w:r w:rsidRPr="005B1DB8">
        <w:rPr>
          <w:rFonts w:ascii="Georgia" w:hAnsi="Georgia"/>
          <w:b/>
          <w:i/>
        </w:rPr>
        <w:t xml:space="preserve"> </w:t>
      </w:r>
    </w:p>
    <w:p w14:paraId="3F014AE1" w14:textId="7777777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bCs/>
          <w:i/>
        </w:rPr>
      </w:pPr>
      <w:r w:rsidRPr="005B1DB8">
        <w:rPr>
          <w:rFonts w:ascii="Georgia" w:hAnsi="Georgia"/>
          <w:bCs/>
          <w:i/>
        </w:rPr>
        <w:t>(prețul ofertei va include și costul pieselor de schimb)</w:t>
      </w:r>
    </w:p>
    <w:p w14:paraId="2FA27813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</w:rPr>
      </w:pPr>
    </w:p>
    <w:p w14:paraId="06E53EAF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1. </w:t>
      </w:r>
      <w:bookmarkStart w:id="2" w:name="_Hlk189553883"/>
      <w:r w:rsidRPr="005B1DB8">
        <w:rPr>
          <w:rFonts w:ascii="Georgia" w:hAnsi="Georgia"/>
        </w:rPr>
        <w:t xml:space="preserve">Înlocuirea blocului intern al sistemului </w:t>
      </w:r>
      <w:r w:rsidRPr="005B1DB8">
        <w:rPr>
          <w:rFonts w:ascii="Georgia" w:eastAsia="Times New Roman" w:hAnsi="Georgia" w:cs="Times New Roman"/>
          <w:bCs/>
          <w:iCs/>
        </w:rPr>
        <w:t>de condiționare de modelul</w:t>
      </w:r>
      <w:r w:rsidRPr="005B1DB8">
        <w:rPr>
          <w:rFonts w:ascii="Georgia" w:eastAsia="Times New Roman" w:hAnsi="Georgia" w:cs="Times New Roman"/>
          <w:b/>
          <w:i/>
        </w:rPr>
        <w:t xml:space="preserve"> </w:t>
      </w:r>
      <w:r w:rsidRPr="005B1DB8">
        <w:rPr>
          <w:rFonts w:ascii="Georgia" w:hAnsi="Georgia"/>
        </w:rPr>
        <w:t>„Toshiba MMD-AP0076BHP-E”, amplasat în anticamera biroului 30</w:t>
      </w:r>
      <w:bookmarkEnd w:id="2"/>
      <w:r w:rsidRPr="005B1DB8">
        <w:rPr>
          <w:rFonts w:ascii="Georgia" w:hAnsi="Georgia"/>
        </w:rPr>
        <w:t>2, sediul Parlamentului (o unitate), inclusiv:</w:t>
      </w:r>
    </w:p>
    <w:p w14:paraId="23A26185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a) demontarea blocului intern defect al sistemului </w:t>
      </w:r>
      <w:r w:rsidRPr="005B1DB8">
        <w:rPr>
          <w:rFonts w:ascii="Georgia" w:eastAsia="Times New Roman" w:hAnsi="Georgia" w:cs="Times New Roman"/>
          <w:bCs/>
          <w:iCs/>
        </w:rPr>
        <w:t>de condiționare</w:t>
      </w:r>
      <w:r w:rsidRPr="005B1DB8">
        <w:rPr>
          <w:rFonts w:ascii="Georgia" w:hAnsi="Georgia"/>
        </w:rPr>
        <w:t>;</w:t>
      </w:r>
    </w:p>
    <w:p w14:paraId="2783E9A9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b) instalarea și montarea unui bloc intern nou;</w:t>
      </w:r>
    </w:p>
    <w:p w14:paraId="0AA7B0AB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c) verificarea etanșeității sistemului de condiționare, în scopul evitării unor eventuale scurgeri de lichide;</w:t>
      </w:r>
    </w:p>
    <w:p w14:paraId="5E315368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d) </w:t>
      </w:r>
      <w:r w:rsidRPr="005B1DB8">
        <w:rPr>
          <w:rFonts w:ascii="Georgia" w:hAnsi="Georgia" w:cs="Times New Roman"/>
        </w:rPr>
        <w:t xml:space="preserve">alimentarea </w:t>
      </w:r>
      <w:r w:rsidRPr="005B1DB8">
        <w:rPr>
          <w:rFonts w:ascii="Georgia" w:hAnsi="Georgia"/>
        </w:rPr>
        <w:t>sistemului</w:t>
      </w:r>
      <w:r w:rsidRPr="005B1DB8">
        <w:rPr>
          <w:rFonts w:ascii="Georgia" w:hAnsi="Georgia" w:cs="Times New Roman"/>
        </w:rPr>
        <w:t xml:space="preserve"> cu agent frigorific R410A;</w:t>
      </w:r>
    </w:p>
    <w:p w14:paraId="25599AF8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e) efectuarea lucrărilor de reglare/pornire a sistemului de condiționare.</w:t>
      </w:r>
    </w:p>
    <w:p w14:paraId="799ADBEE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66F0908A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b/>
          <w:u w:val="single"/>
        </w:rPr>
      </w:pPr>
    </w:p>
    <w:p w14:paraId="35E5EAC8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2. </w:t>
      </w:r>
      <w:bookmarkStart w:id="3" w:name="_Hlk189552747"/>
      <w:r w:rsidRPr="005B1DB8">
        <w:rPr>
          <w:rFonts w:ascii="Georgia" w:hAnsi="Georgia"/>
        </w:rPr>
        <w:t>Efectuarea lucrărilor de instalare a robinetelor de închidere pentru blocurile interioare ale sistemului de condiționare de la etajul 2 (</w:t>
      </w:r>
      <w:r>
        <w:rPr>
          <w:rFonts w:ascii="Georgia" w:hAnsi="Georgia"/>
        </w:rPr>
        <w:t xml:space="preserve">48 </w:t>
      </w:r>
      <w:r w:rsidRPr="005B1DB8">
        <w:rPr>
          <w:rFonts w:ascii="Georgia" w:hAnsi="Georgia"/>
        </w:rPr>
        <w:t xml:space="preserve">per total). La fiecare bloc vor fi instalate câte 2 robinete de închidere cu bilă pentru freon (D=1/4″ și D=3/8″). </w:t>
      </w:r>
      <w:bookmarkEnd w:id="3"/>
      <w:r w:rsidRPr="005B1DB8">
        <w:rPr>
          <w:rFonts w:ascii="Georgia" w:hAnsi="Georgia"/>
        </w:rPr>
        <w:t>Lucrările vor include:</w:t>
      </w:r>
    </w:p>
    <w:p w14:paraId="506CBCAB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 w:cs="Times New Roman"/>
        </w:rPr>
      </w:pPr>
      <w:r w:rsidRPr="005B1DB8">
        <w:rPr>
          <w:rFonts w:ascii="Georgia" w:hAnsi="Georgia" w:cs="Times New Roman"/>
        </w:rPr>
        <w:t xml:space="preserve">a) </w:t>
      </w:r>
      <w:r w:rsidRPr="005B1DB8">
        <w:rPr>
          <w:rFonts w:ascii="Georgia" w:hAnsi="Georgia"/>
        </w:rPr>
        <w:t xml:space="preserve">instalarea robinetelor de închidere cu bilă pentru freon </w:t>
      </w:r>
      <w:bookmarkStart w:id="4" w:name="_Hlk189552864"/>
      <w:r w:rsidRPr="005B1DB8">
        <w:rPr>
          <w:rFonts w:ascii="Georgia" w:hAnsi="Georgia"/>
        </w:rPr>
        <w:t>(per total – 48 robinete)</w:t>
      </w:r>
      <w:bookmarkEnd w:id="4"/>
      <w:r w:rsidRPr="005B1DB8">
        <w:rPr>
          <w:rFonts w:ascii="Georgia" w:hAnsi="Georgia" w:cs="Times New Roman"/>
        </w:rPr>
        <w:t>;</w:t>
      </w:r>
    </w:p>
    <w:p w14:paraId="768EC6EE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b) verificarea etanșeității sistemului de condiționare, în scopul evitării unor eventuale scurgeri de lichide;</w:t>
      </w:r>
    </w:p>
    <w:p w14:paraId="5E729E5B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 xml:space="preserve">c) </w:t>
      </w:r>
      <w:r w:rsidRPr="005B1DB8">
        <w:rPr>
          <w:rFonts w:ascii="Georgia" w:hAnsi="Georgia" w:cs="Times New Roman"/>
        </w:rPr>
        <w:t xml:space="preserve">alimentarea </w:t>
      </w:r>
      <w:r w:rsidRPr="005B1DB8">
        <w:rPr>
          <w:rFonts w:ascii="Georgia" w:hAnsi="Georgia"/>
        </w:rPr>
        <w:t>sistemului</w:t>
      </w:r>
      <w:r w:rsidRPr="005B1DB8">
        <w:rPr>
          <w:rFonts w:ascii="Georgia" w:hAnsi="Georgia" w:cs="Times New Roman"/>
        </w:rPr>
        <w:t xml:space="preserve"> cu agent frigorific R410A;</w:t>
      </w:r>
    </w:p>
    <w:p w14:paraId="6E31F9AC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 w:cs="Times New Roman"/>
        </w:rPr>
      </w:pPr>
      <w:r w:rsidRPr="005B1DB8">
        <w:rPr>
          <w:rFonts w:ascii="Georgia" w:hAnsi="Georgia"/>
        </w:rPr>
        <w:t>d) efectuarea lucrărilor de reglare/pornire a sistemului de condiționare</w:t>
      </w:r>
      <w:r w:rsidRPr="005B1DB8">
        <w:rPr>
          <w:rFonts w:ascii="Georgia" w:hAnsi="Georgia" w:cs="Times New Roman"/>
        </w:rPr>
        <w:t>.</w:t>
      </w:r>
    </w:p>
    <w:p w14:paraId="0E443BEA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2CA1577A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</w:rPr>
      </w:pPr>
    </w:p>
    <w:p w14:paraId="44A5AA6D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3. Efectuarea lucrărilor de reparație a blocului extern (situat pe acoperiș) al sistemului „Toshiba MMY1606HT8P-E”– 2 buc., inclusiv:</w:t>
      </w:r>
    </w:p>
    <w:p w14:paraId="2287FFE6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a) înlocuirea rulmenților ventilatorului</w:t>
      </w:r>
      <w:r>
        <w:rPr>
          <w:rFonts w:ascii="Georgia" w:hAnsi="Georgia"/>
        </w:rPr>
        <w:t xml:space="preserve"> </w:t>
      </w:r>
      <w:r w:rsidRPr="005B1DB8">
        <w:rPr>
          <w:rFonts w:ascii="Georgia" w:hAnsi="Georgia"/>
          <w:i/>
          <w:iCs/>
        </w:rPr>
        <w:t>– unități</w:t>
      </w:r>
      <w:r w:rsidRPr="005B1DB8">
        <w:rPr>
          <w:rFonts w:ascii="Georgia" w:hAnsi="Georgia"/>
        </w:rPr>
        <w:t>;</w:t>
      </w:r>
    </w:p>
    <w:p w14:paraId="5670EE66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</w:rPr>
      </w:pPr>
      <w:r w:rsidRPr="005B1DB8">
        <w:rPr>
          <w:rFonts w:ascii="Georgia" w:hAnsi="Georgia"/>
        </w:rPr>
        <w:t>b) lucrări de reglare/pornire a sistemului de condiționare.</w:t>
      </w:r>
    </w:p>
    <w:p w14:paraId="4576A2B6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68B6D959" w14:textId="77777777" w:rsidR="00DA4E69" w:rsidRPr="005B1DB8" w:rsidRDefault="00DA4E69" w:rsidP="00DA4E69">
      <w:pPr>
        <w:spacing w:after="0" w:line="240" w:lineRule="auto"/>
        <w:ind w:firstLine="708"/>
        <w:jc w:val="both"/>
        <w:rPr>
          <w:rFonts w:ascii="Georgia" w:hAnsi="Georgia"/>
          <w:bCs/>
        </w:rPr>
      </w:pPr>
    </w:p>
    <w:p w14:paraId="6169E9C0" w14:textId="2466B4BF" w:rsidR="00DA4E69" w:rsidRPr="005B1DB8" w:rsidRDefault="00DA4E69" w:rsidP="00DA4E69">
      <w:pPr>
        <w:spacing w:after="0" w:line="240" w:lineRule="auto"/>
        <w:jc w:val="center"/>
        <w:rPr>
          <w:rFonts w:ascii="Georgia" w:hAnsi="Georgia"/>
        </w:rPr>
      </w:pPr>
      <w:r w:rsidRPr="005B1DB8">
        <w:rPr>
          <w:rFonts w:ascii="Georgia" w:hAnsi="Georgia"/>
          <w:b/>
          <w:i/>
        </w:rPr>
        <w:t xml:space="preserve">IV. Cerințe/condiții </w:t>
      </w:r>
      <w:r w:rsidR="00602C4C">
        <w:rPr>
          <w:rFonts w:ascii="Georgia" w:hAnsi="Georgia"/>
          <w:b/>
          <w:i/>
        </w:rPr>
        <w:t xml:space="preserve"> </w:t>
      </w:r>
      <w:r w:rsidRPr="005B1DB8">
        <w:rPr>
          <w:rFonts w:ascii="Georgia" w:hAnsi="Georgia"/>
          <w:b/>
          <w:i/>
        </w:rPr>
        <w:t>față de prestatorul de lucrări/servicii:</w:t>
      </w:r>
    </w:p>
    <w:p w14:paraId="37395AEB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  <w:sz w:val="16"/>
          <w:szCs w:val="16"/>
        </w:rPr>
      </w:pPr>
    </w:p>
    <w:p w14:paraId="770F25D9" w14:textId="04220635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  <w:lang w:val="pt-BR"/>
        </w:rPr>
        <w:t xml:space="preserve">1. </w:t>
      </w:r>
      <w:r w:rsidRPr="005B1DB8">
        <w:rPr>
          <w:rFonts w:ascii="Georgia" w:hAnsi="Georgia"/>
          <w:spacing w:val="-2"/>
        </w:rPr>
        <w:t xml:space="preserve">Prestatorul va </w:t>
      </w:r>
      <w:r>
        <w:rPr>
          <w:rFonts w:ascii="Georgia" w:hAnsi="Georgia"/>
          <w:spacing w:val="-2"/>
        </w:rPr>
        <w:t xml:space="preserve">face dovada că </w:t>
      </w:r>
      <w:r w:rsidRPr="005B1DB8">
        <w:rPr>
          <w:rFonts w:ascii="Georgia" w:hAnsi="Georgia"/>
          <w:spacing w:val="-2"/>
        </w:rPr>
        <w:t>dispune de personal specializat și calificat</w:t>
      </w:r>
      <w:r w:rsidRPr="005B1DB8">
        <w:rPr>
          <w:rFonts w:ascii="Georgia" w:hAnsi="Georgia"/>
        </w:rPr>
        <w:t xml:space="preserve"> (cu permis de exercitare valabil) pentru desfășurarea deservirilor solicitate.</w:t>
      </w:r>
    </w:p>
    <w:p w14:paraId="1B2BE6FA" w14:textId="56DD9BDC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2</w:t>
      </w:r>
      <w:r w:rsidR="00DA4E69" w:rsidRPr="005B1DB8">
        <w:rPr>
          <w:rFonts w:ascii="Georgia" w:hAnsi="Georgia"/>
        </w:rPr>
        <w:t xml:space="preserve">. </w:t>
      </w:r>
      <w:r w:rsidR="00DA4E69" w:rsidRPr="005B1DB8">
        <w:rPr>
          <w:rFonts w:ascii="Georgia" w:hAnsi="Georgia"/>
          <w:spacing w:val="-2"/>
        </w:rPr>
        <w:t>Prestatorul va demonstra</w:t>
      </w:r>
      <w:r w:rsidR="00DA4E69" w:rsidRPr="005B1DB8">
        <w:rPr>
          <w:rFonts w:ascii="Georgia" w:hAnsi="Georgia"/>
        </w:rPr>
        <w:t xml:space="preserve"> că dispune de minim 3 ani de experiență în domeniu (cu enumerarea contractelor similare încheiate în ultimii 3 ani).</w:t>
      </w:r>
    </w:p>
    <w:p w14:paraId="7E48C315" w14:textId="3B14D817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3</w:t>
      </w:r>
      <w:r w:rsidR="00DA4E69" w:rsidRPr="005B1DB8">
        <w:rPr>
          <w:rFonts w:ascii="Georgia" w:hAnsi="Georgia"/>
        </w:rPr>
        <w:t>. Prestatorul va declara, pe propria răspundere, că dispune de transport, aparate de spălat sub presiune, echipament electric, scări și alte instrumente necesare pentru deservirea tehnică a climatizatoarelor.</w:t>
      </w:r>
    </w:p>
    <w:p w14:paraId="4870FAA8" w14:textId="4BA7521E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4</w:t>
      </w:r>
      <w:r w:rsidR="00DA4E69" w:rsidRPr="005B1DB8">
        <w:rPr>
          <w:rFonts w:ascii="Georgia" w:hAnsi="Georgia"/>
        </w:rPr>
        <w:t>. Prestatorul are obligația să monteze piese noi, însoțite de certificate de calitate, și/sau de conformitate.</w:t>
      </w:r>
    </w:p>
    <w:p w14:paraId="314CECF4" w14:textId="20FF0C5C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5</w:t>
      </w:r>
      <w:r w:rsidR="00DA4E69" w:rsidRPr="005B1DB8">
        <w:rPr>
          <w:rFonts w:ascii="Georgia" w:hAnsi="Georgia"/>
        </w:rPr>
        <w:t>. Prestatorul va</w:t>
      </w:r>
      <w:r w:rsidR="00DA4E69" w:rsidRPr="005B1DB8">
        <w:rPr>
          <w:rFonts w:ascii="Georgia" w:eastAsia="Times New Roman" w:hAnsi="Georgia" w:cs="Times New Roman"/>
        </w:rPr>
        <w:t xml:space="preserve"> asigura funcționarea sistemelor deservite/reparate la parametrii nominali, în conformitate cu performanțele stabilite de producător.</w:t>
      </w:r>
    </w:p>
    <w:p w14:paraId="6F2B1206" w14:textId="0AA8FD5A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eastAsia="Times New Roman" w:hAnsi="Georgia" w:cs="Times New Roman"/>
        </w:rPr>
      </w:pPr>
      <w:r>
        <w:rPr>
          <w:rFonts w:ascii="Georgia" w:hAnsi="Georgia"/>
        </w:rPr>
        <w:t>6</w:t>
      </w:r>
      <w:r w:rsidR="00DA4E69" w:rsidRPr="005B1DB8">
        <w:rPr>
          <w:rFonts w:ascii="Georgia" w:hAnsi="Georgia"/>
        </w:rPr>
        <w:t>. Prestatorul va</w:t>
      </w:r>
      <w:r w:rsidR="00DA4E69" w:rsidRPr="005B1DB8">
        <w:rPr>
          <w:rFonts w:ascii="Georgia" w:eastAsia="Times New Roman" w:hAnsi="Georgia" w:cs="Times New Roman"/>
        </w:rPr>
        <w:t xml:space="preserve"> preîntâmpina și va informa Beneficiarul despre posibilele devieri și defecțiuni în sisteme, ce pot surveni pe parcursul exploatării.</w:t>
      </w:r>
    </w:p>
    <w:p w14:paraId="625F51A9" w14:textId="39D58E2D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7</w:t>
      </w:r>
      <w:r w:rsidR="00DA4E69" w:rsidRPr="005B1DB8">
        <w:rPr>
          <w:rFonts w:ascii="Georgia" w:hAnsi="Georgia"/>
        </w:rPr>
        <w:t xml:space="preserve">. Prestatorul va </w:t>
      </w:r>
      <w:r w:rsidR="00DA4E69" w:rsidRPr="005B1DB8">
        <w:rPr>
          <w:rFonts w:ascii="Georgia" w:eastAsia="Times New Roman" w:hAnsi="Georgia" w:cs="Times New Roman"/>
        </w:rPr>
        <w:t xml:space="preserve">interveni operativ și adecvat pentru soluționarea incidentelor parvenite pe perioada valabilității contractului de deservire  </w:t>
      </w:r>
    </w:p>
    <w:p w14:paraId="7DCCA65E" w14:textId="5D928120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>
        <w:rPr>
          <w:rFonts w:ascii="Georgia" w:hAnsi="Georgia"/>
        </w:rPr>
        <w:t>8</w:t>
      </w:r>
      <w:r w:rsidR="00DA4E69" w:rsidRPr="005B1DB8">
        <w:rPr>
          <w:rFonts w:ascii="Georgia" w:hAnsi="Georgia"/>
        </w:rPr>
        <w:t>. Prestatorul va oferi cel puțin un an garanție pentru lucrările executate (funcționarea normală a sistemului).</w:t>
      </w:r>
    </w:p>
    <w:p w14:paraId="2F176C85" w14:textId="730435F7" w:rsidR="00DA4E69" w:rsidRPr="005B1DB8" w:rsidRDefault="003F138B" w:rsidP="00DA4E69">
      <w:pPr>
        <w:spacing w:after="0" w:line="240" w:lineRule="auto"/>
        <w:ind w:firstLine="567"/>
        <w:jc w:val="both"/>
        <w:rPr>
          <w:rFonts w:ascii="Georgia" w:hAnsi="Georgia"/>
          <w:spacing w:val="-2"/>
        </w:rPr>
      </w:pPr>
      <w:r>
        <w:rPr>
          <w:rFonts w:ascii="Georgia" w:hAnsi="Georgia"/>
        </w:rPr>
        <w:t>9</w:t>
      </w:r>
      <w:r w:rsidR="00DA4E69" w:rsidRPr="005B1DB8">
        <w:rPr>
          <w:rFonts w:ascii="Georgia" w:hAnsi="Georgia"/>
        </w:rPr>
        <w:t xml:space="preserve">. </w:t>
      </w:r>
      <w:r w:rsidR="00DA4E69" w:rsidRPr="005B1DB8">
        <w:rPr>
          <w:rFonts w:ascii="Georgia" w:hAnsi="Georgia"/>
          <w:spacing w:val="-2"/>
        </w:rPr>
        <w:t xml:space="preserve">Prestatorul nu va solicita plăți în avans și nici garanții de plată. </w:t>
      </w:r>
    </w:p>
    <w:p w14:paraId="30AAF446" w14:textId="5959C351" w:rsidR="00DA4E69" w:rsidRPr="005B1DB8" w:rsidRDefault="00DA4E69" w:rsidP="00DA4E69">
      <w:pPr>
        <w:spacing w:after="0" w:line="240" w:lineRule="auto"/>
        <w:ind w:firstLine="567"/>
        <w:jc w:val="both"/>
        <w:rPr>
          <w:rFonts w:ascii="Georgia" w:hAnsi="Georgia"/>
        </w:rPr>
      </w:pPr>
      <w:r w:rsidRPr="005B1DB8">
        <w:rPr>
          <w:rFonts w:ascii="Georgia" w:hAnsi="Georgia"/>
          <w:spacing w:val="-2"/>
        </w:rPr>
        <w:t>1</w:t>
      </w:r>
      <w:r w:rsidR="003F138B">
        <w:rPr>
          <w:rFonts w:ascii="Georgia" w:hAnsi="Georgia"/>
          <w:spacing w:val="-2"/>
        </w:rPr>
        <w:t>0</w:t>
      </w:r>
      <w:r w:rsidRPr="005B1DB8">
        <w:rPr>
          <w:rFonts w:ascii="Georgia" w:hAnsi="Georgia"/>
          <w:spacing w:val="-2"/>
        </w:rPr>
        <w:t xml:space="preserve">. </w:t>
      </w:r>
      <w:r w:rsidRPr="005B1DB8">
        <w:rPr>
          <w:rFonts w:ascii="Georgia" w:hAnsi="Georgia"/>
        </w:rPr>
        <w:t xml:space="preserve">Prestatorul va </w:t>
      </w:r>
      <w:r w:rsidRPr="005B1DB8">
        <w:rPr>
          <w:rFonts w:ascii="Georgia" w:hAnsi="Georgia"/>
          <w:spacing w:val="-2"/>
        </w:rPr>
        <w:t>anexa, la factura de plată, actul privind lucrările executate semnat de către părți, cu indicarea pieselor înlocuite/instalate.</w:t>
      </w:r>
    </w:p>
    <w:p w14:paraId="2969DF9F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</w:rPr>
      </w:pPr>
    </w:p>
    <w:p w14:paraId="5DB4A775" w14:textId="77777777" w:rsidR="00DA4E69" w:rsidRPr="005B1DB8" w:rsidRDefault="00DA4E69" w:rsidP="00DA4E69">
      <w:pPr>
        <w:spacing w:after="0" w:line="240" w:lineRule="auto"/>
        <w:jc w:val="center"/>
        <w:rPr>
          <w:rFonts w:ascii="Georgia" w:hAnsi="Georgia"/>
          <w:i/>
          <w:iCs/>
        </w:rPr>
      </w:pPr>
      <w:r w:rsidRPr="005B1DB8">
        <w:rPr>
          <w:rFonts w:ascii="Georgia" w:hAnsi="Georgia"/>
          <w:b/>
          <w:i/>
          <w:iCs/>
        </w:rPr>
        <w:t>V. Lista utilajului sistemului VRV (blocuri interioare și exterioare)</w:t>
      </w:r>
    </w:p>
    <w:p w14:paraId="76892564" w14:textId="77777777" w:rsidR="00DA4E69" w:rsidRPr="005B1DB8" w:rsidRDefault="00DA4E69" w:rsidP="00DA4E69">
      <w:pPr>
        <w:spacing w:after="0" w:line="240" w:lineRule="auto"/>
        <w:jc w:val="both"/>
        <w:rPr>
          <w:rFonts w:ascii="Georgia" w:hAnsi="Georg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3347"/>
        <w:gridCol w:w="816"/>
        <w:gridCol w:w="516"/>
        <w:gridCol w:w="3334"/>
        <w:gridCol w:w="816"/>
      </w:tblGrid>
      <w:tr w:rsidR="00DA4E69" w:rsidRPr="005B1DB8" w14:paraId="77A0EEBC" w14:textId="77777777" w:rsidTr="000E30D7">
        <w:tc>
          <w:tcPr>
            <w:tcW w:w="488" w:type="dxa"/>
          </w:tcPr>
          <w:p w14:paraId="066C7121" w14:textId="77777777" w:rsidR="00DA4E69" w:rsidRPr="005B1DB8" w:rsidRDefault="00DA4E69" w:rsidP="000E30D7">
            <w:pPr>
              <w:jc w:val="center"/>
              <w:rPr>
                <w:rFonts w:ascii="Georgia" w:hAnsi="Georgia"/>
                <w:b/>
                <w:bCs/>
              </w:rPr>
            </w:pPr>
            <w:r w:rsidRPr="005B1DB8">
              <w:rPr>
                <w:rFonts w:ascii="Georgia" w:hAnsi="Georgia"/>
                <w:b/>
                <w:bCs/>
              </w:rPr>
              <w:t>Nr</w:t>
            </w:r>
          </w:p>
        </w:tc>
        <w:tc>
          <w:tcPr>
            <w:tcW w:w="3435" w:type="dxa"/>
          </w:tcPr>
          <w:p w14:paraId="093CC5F3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  <w:b/>
              </w:rPr>
              <w:t>Bloc interior</w:t>
            </w:r>
          </w:p>
        </w:tc>
        <w:tc>
          <w:tcPr>
            <w:tcW w:w="762" w:type="dxa"/>
          </w:tcPr>
          <w:p w14:paraId="7B82AF46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  <w:b/>
              </w:rPr>
              <w:t>Cant.</w:t>
            </w:r>
          </w:p>
        </w:tc>
        <w:tc>
          <w:tcPr>
            <w:tcW w:w="488" w:type="dxa"/>
          </w:tcPr>
          <w:p w14:paraId="5F8B12E1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  <w:b/>
              </w:rPr>
              <w:t>Nr</w:t>
            </w:r>
          </w:p>
        </w:tc>
        <w:tc>
          <w:tcPr>
            <w:tcW w:w="3410" w:type="dxa"/>
          </w:tcPr>
          <w:p w14:paraId="756024B7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  <w:b/>
              </w:rPr>
              <w:t>Bloc exterior</w:t>
            </w:r>
          </w:p>
        </w:tc>
        <w:tc>
          <w:tcPr>
            <w:tcW w:w="762" w:type="dxa"/>
          </w:tcPr>
          <w:p w14:paraId="046D7EAA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  <w:b/>
              </w:rPr>
              <w:t>Cant.</w:t>
            </w:r>
          </w:p>
        </w:tc>
      </w:tr>
      <w:tr w:rsidR="00DA4E69" w:rsidRPr="005B1DB8" w14:paraId="6B815A5E" w14:textId="77777777" w:rsidTr="000E30D7">
        <w:tc>
          <w:tcPr>
            <w:tcW w:w="488" w:type="dxa"/>
          </w:tcPr>
          <w:p w14:paraId="73F39E3A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</w:t>
            </w:r>
          </w:p>
        </w:tc>
        <w:tc>
          <w:tcPr>
            <w:tcW w:w="3435" w:type="dxa"/>
          </w:tcPr>
          <w:p w14:paraId="640A01B1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Toshiba MMB-AP0096 BHP-E</w:t>
            </w:r>
          </w:p>
        </w:tc>
        <w:tc>
          <w:tcPr>
            <w:tcW w:w="762" w:type="dxa"/>
          </w:tcPr>
          <w:p w14:paraId="6EEFCF6B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53</w:t>
            </w:r>
          </w:p>
        </w:tc>
        <w:tc>
          <w:tcPr>
            <w:tcW w:w="488" w:type="dxa"/>
          </w:tcPr>
          <w:p w14:paraId="00F54033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</w:t>
            </w:r>
          </w:p>
        </w:tc>
        <w:tc>
          <w:tcPr>
            <w:tcW w:w="3410" w:type="dxa"/>
          </w:tcPr>
          <w:p w14:paraId="5BAC8F9C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Mitsubishi FDC560KX6</w:t>
            </w:r>
          </w:p>
        </w:tc>
        <w:tc>
          <w:tcPr>
            <w:tcW w:w="762" w:type="dxa"/>
          </w:tcPr>
          <w:p w14:paraId="060E3E86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3</w:t>
            </w:r>
          </w:p>
        </w:tc>
      </w:tr>
      <w:tr w:rsidR="00DA4E69" w:rsidRPr="005B1DB8" w14:paraId="220B4C10" w14:textId="77777777" w:rsidTr="000E30D7">
        <w:tc>
          <w:tcPr>
            <w:tcW w:w="488" w:type="dxa"/>
          </w:tcPr>
          <w:p w14:paraId="5C74B11F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2</w:t>
            </w:r>
          </w:p>
        </w:tc>
        <w:tc>
          <w:tcPr>
            <w:tcW w:w="3435" w:type="dxa"/>
          </w:tcPr>
          <w:p w14:paraId="03BBDE89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Toshiba MMB-AP0074DH-E</w:t>
            </w:r>
          </w:p>
        </w:tc>
        <w:tc>
          <w:tcPr>
            <w:tcW w:w="762" w:type="dxa"/>
          </w:tcPr>
          <w:p w14:paraId="5954F34D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71</w:t>
            </w:r>
          </w:p>
        </w:tc>
        <w:tc>
          <w:tcPr>
            <w:tcW w:w="488" w:type="dxa"/>
          </w:tcPr>
          <w:p w14:paraId="2B06C065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2</w:t>
            </w:r>
          </w:p>
        </w:tc>
        <w:tc>
          <w:tcPr>
            <w:tcW w:w="3410" w:type="dxa"/>
          </w:tcPr>
          <w:p w14:paraId="3D0F99FD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Toshiba MMY1006HT8P-E</w:t>
            </w:r>
          </w:p>
        </w:tc>
        <w:tc>
          <w:tcPr>
            <w:tcW w:w="762" w:type="dxa"/>
          </w:tcPr>
          <w:p w14:paraId="1A935AB3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12</w:t>
            </w:r>
          </w:p>
        </w:tc>
      </w:tr>
      <w:tr w:rsidR="00DA4E69" w:rsidRPr="005B1DB8" w14:paraId="0F133C20" w14:textId="77777777" w:rsidTr="000E30D7">
        <w:tc>
          <w:tcPr>
            <w:tcW w:w="488" w:type="dxa"/>
          </w:tcPr>
          <w:p w14:paraId="2671BCC8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3</w:t>
            </w:r>
          </w:p>
        </w:tc>
        <w:tc>
          <w:tcPr>
            <w:tcW w:w="3435" w:type="dxa"/>
          </w:tcPr>
          <w:p w14:paraId="74641C9F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Toshiba DH72900701</w:t>
            </w:r>
          </w:p>
        </w:tc>
        <w:tc>
          <w:tcPr>
            <w:tcW w:w="762" w:type="dxa"/>
          </w:tcPr>
          <w:p w14:paraId="3FAAE30B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15</w:t>
            </w:r>
          </w:p>
        </w:tc>
        <w:tc>
          <w:tcPr>
            <w:tcW w:w="488" w:type="dxa"/>
          </w:tcPr>
          <w:p w14:paraId="19D4EA66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3</w:t>
            </w:r>
          </w:p>
        </w:tc>
        <w:tc>
          <w:tcPr>
            <w:tcW w:w="3410" w:type="dxa"/>
          </w:tcPr>
          <w:p w14:paraId="183116E3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Toshiba MMY1606HT8P-E</w:t>
            </w:r>
          </w:p>
        </w:tc>
        <w:tc>
          <w:tcPr>
            <w:tcW w:w="762" w:type="dxa"/>
          </w:tcPr>
          <w:p w14:paraId="2E47AF0C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</w:t>
            </w:r>
          </w:p>
        </w:tc>
      </w:tr>
      <w:tr w:rsidR="00DA4E69" w:rsidRPr="005B1DB8" w14:paraId="390DF397" w14:textId="77777777" w:rsidTr="000E30D7">
        <w:tc>
          <w:tcPr>
            <w:tcW w:w="488" w:type="dxa"/>
          </w:tcPr>
          <w:p w14:paraId="6FF64627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4</w:t>
            </w:r>
          </w:p>
        </w:tc>
        <w:tc>
          <w:tcPr>
            <w:tcW w:w="3435" w:type="dxa"/>
          </w:tcPr>
          <w:p w14:paraId="55EE3EA7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Mitsubishi FDM22KXE6F</w:t>
            </w:r>
          </w:p>
        </w:tc>
        <w:tc>
          <w:tcPr>
            <w:tcW w:w="762" w:type="dxa"/>
          </w:tcPr>
          <w:p w14:paraId="2FE66981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67</w:t>
            </w:r>
          </w:p>
        </w:tc>
        <w:tc>
          <w:tcPr>
            <w:tcW w:w="488" w:type="dxa"/>
          </w:tcPr>
          <w:p w14:paraId="356A55BA" w14:textId="77777777" w:rsidR="00DA4E69" w:rsidRPr="005B1DB8" w:rsidRDefault="00DA4E69" w:rsidP="000E30D7">
            <w:pPr>
              <w:rPr>
                <w:rFonts w:ascii="Georgia" w:hAnsi="Georgia"/>
              </w:rPr>
            </w:pPr>
          </w:p>
        </w:tc>
        <w:tc>
          <w:tcPr>
            <w:tcW w:w="3410" w:type="dxa"/>
          </w:tcPr>
          <w:p w14:paraId="4B678E92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  <w:tc>
          <w:tcPr>
            <w:tcW w:w="762" w:type="dxa"/>
          </w:tcPr>
          <w:p w14:paraId="5ED55440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</w:p>
        </w:tc>
      </w:tr>
      <w:tr w:rsidR="00DA4E69" w:rsidRPr="005B1DB8" w14:paraId="33FDDED5" w14:textId="77777777" w:rsidTr="000E30D7">
        <w:tc>
          <w:tcPr>
            <w:tcW w:w="488" w:type="dxa"/>
          </w:tcPr>
          <w:p w14:paraId="6746C79D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5</w:t>
            </w:r>
          </w:p>
        </w:tc>
        <w:tc>
          <w:tcPr>
            <w:tcW w:w="3435" w:type="dxa"/>
          </w:tcPr>
          <w:p w14:paraId="2164B11F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Mitsubishi FDM28KXE6F</w:t>
            </w:r>
          </w:p>
        </w:tc>
        <w:tc>
          <w:tcPr>
            <w:tcW w:w="762" w:type="dxa"/>
          </w:tcPr>
          <w:p w14:paraId="2EEBB8FF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15</w:t>
            </w:r>
          </w:p>
        </w:tc>
        <w:tc>
          <w:tcPr>
            <w:tcW w:w="488" w:type="dxa"/>
          </w:tcPr>
          <w:p w14:paraId="2424D419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410" w:type="dxa"/>
          </w:tcPr>
          <w:p w14:paraId="33E9852B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  <w:tc>
          <w:tcPr>
            <w:tcW w:w="762" w:type="dxa"/>
          </w:tcPr>
          <w:p w14:paraId="20A6A468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</w:tr>
      <w:tr w:rsidR="00DA4E69" w:rsidRPr="005B1DB8" w14:paraId="53A03169" w14:textId="77777777" w:rsidTr="000E30D7">
        <w:tc>
          <w:tcPr>
            <w:tcW w:w="488" w:type="dxa"/>
          </w:tcPr>
          <w:p w14:paraId="2D5A5BEF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6</w:t>
            </w:r>
          </w:p>
        </w:tc>
        <w:tc>
          <w:tcPr>
            <w:tcW w:w="3435" w:type="dxa"/>
          </w:tcPr>
          <w:p w14:paraId="7E85AF65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Mitsubishi FDM36KXE6F</w:t>
            </w:r>
          </w:p>
        </w:tc>
        <w:tc>
          <w:tcPr>
            <w:tcW w:w="762" w:type="dxa"/>
          </w:tcPr>
          <w:p w14:paraId="69A6B225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26</w:t>
            </w:r>
          </w:p>
        </w:tc>
        <w:tc>
          <w:tcPr>
            <w:tcW w:w="488" w:type="dxa"/>
          </w:tcPr>
          <w:p w14:paraId="3B0D2A68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410" w:type="dxa"/>
          </w:tcPr>
          <w:p w14:paraId="0320A004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  <w:tc>
          <w:tcPr>
            <w:tcW w:w="762" w:type="dxa"/>
          </w:tcPr>
          <w:p w14:paraId="15A770D4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</w:tr>
      <w:tr w:rsidR="00DA4E69" w:rsidRPr="005B1DB8" w14:paraId="0DBE3303" w14:textId="77777777" w:rsidTr="000E30D7">
        <w:tc>
          <w:tcPr>
            <w:tcW w:w="488" w:type="dxa"/>
          </w:tcPr>
          <w:p w14:paraId="4394630F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7</w:t>
            </w:r>
          </w:p>
        </w:tc>
        <w:tc>
          <w:tcPr>
            <w:tcW w:w="3435" w:type="dxa"/>
          </w:tcPr>
          <w:p w14:paraId="2EA90F17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Mitsubishi FDM112KXE6-F</w:t>
            </w:r>
          </w:p>
        </w:tc>
        <w:tc>
          <w:tcPr>
            <w:tcW w:w="762" w:type="dxa"/>
          </w:tcPr>
          <w:p w14:paraId="26B4BAA0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  <w:r w:rsidRPr="005B1DB8">
              <w:rPr>
                <w:rFonts w:ascii="Georgia" w:hAnsi="Georgia"/>
              </w:rPr>
              <w:t>1</w:t>
            </w:r>
          </w:p>
        </w:tc>
        <w:tc>
          <w:tcPr>
            <w:tcW w:w="488" w:type="dxa"/>
          </w:tcPr>
          <w:p w14:paraId="7E685AB9" w14:textId="77777777" w:rsidR="00DA4E69" w:rsidRPr="005B1DB8" w:rsidRDefault="00DA4E69" w:rsidP="000E30D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410" w:type="dxa"/>
          </w:tcPr>
          <w:p w14:paraId="046D59CE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  <w:tc>
          <w:tcPr>
            <w:tcW w:w="762" w:type="dxa"/>
          </w:tcPr>
          <w:p w14:paraId="721AEB35" w14:textId="77777777" w:rsidR="00DA4E69" w:rsidRPr="005B1DB8" w:rsidRDefault="00DA4E69" w:rsidP="000E30D7">
            <w:pPr>
              <w:jc w:val="both"/>
              <w:rPr>
                <w:rFonts w:ascii="Georgia" w:hAnsi="Georgia"/>
              </w:rPr>
            </w:pPr>
          </w:p>
        </w:tc>
      </w:tr>
    </w:tbl>
    <w:p w14:paraId="54B7BD26" w14:textId="77777777" w:rsidR="00DA4E69" w:rsidRPr="00CF2A9C" w:rsidRDefault="00DA4E69" w:rsidP="00DA4E69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sectPr w:rsidR="00DA4E69" w:rsidRPr="00CF2A9C" w:rsidSect="003F138B">
      <w:footerReference w:type="default" r:id="rId6"/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4238D" w14:textId="77777777" w:rsidR="002D43DC" w:rsidRDefault="002D43DC">
      <w:pPr>
        <w:spacing w:after="0" w:line="240" w:lineRule="auto"/>
      </w:pPr>
      <w:r>
        <w:separator/>
      </w:r>
    </w:p>
  </w:endnote>
  <w:endnote w:type="continuationSeparator" w:id="0">
    <w:p w14:paraId="4CF3CAAB" w14:textId="77777777" w:rsidR="002D43DC" w:rsidRDefault="002D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4932361"/>
      <w:docPartObj>
        <w:docPartGallery w:val="Page Numbers (Bottom of Page)"/>
        <w:docPartUnique/>
      </w:docPartObj>
    </w:sdtPr>
    <w:sdtEndPr>
      <w:rPr>
        <w:rFonts w:ascii="Lava Pro Reg" w:hAnsi="Lava Pro Reg"/>
        <w:sz w:val="16"/>
        <w:szCs w:val="16"/>
      </w:rPr>
    </w:sdtEndPr>
    <w:sdtContent>
      <w:p w14:paraId="1EE0FED1" w14:textId="77777777" w:rsidR="00DA4E69" w:rsidRPr="000445F4" w:rsidRDefault="00DA4E69">
        <w:pPr>
          <w:pStyle w:val="Footer"/>
          <w:jc w:val="center"/>
          <w:rPr>
            <w:rFonts w:ascii="Lava Pro Reg" w:hAnsi="Lava Pro Reg"/>
            <w:sz w:val="16"/>
            <w:szCs w:val="16"/>
          </w:rPr>
        </w:pPr>
        <w:r w:rsidRPr="000445F4">
          <w:rPr>
            <w:rFonts w:ascii="Lava Pro Reg" w:hAnsi="Lava Pro Reg"/>
            <w:sz w:val="16"/>
            <w:szCs w:val="16"/>
          </w:rPr>
          <w:fldChar w:fldCharType="begin"/>
        </w:r>
        <w:r w:rsidRPr="000445F4">
          <w:rPr>
            <w:rFonts w:ascii="Lava Pro Reg" w:hAnsi="Lava Pro Reg"/>
            <w:sz w:val="16"/>
            <w:szCs w:val="16"/>
          </w:rPr>
          <w:instrText>PAGE   \* MERGEFORMAT</w:instrText>
        </w:r>
        <w:r w:rsidRPr="000445F4">
          <w:rPr>
            <w:rFonts w:ascii="Lava Pro Reg" w:hAnsi="Lava Pro Reg"/>
            <w:sz w:val="16"/>
            <w:szCs w:val="16"/>
          </w:rPr>
          <w:fldChar w:fldCharType="separate"/>
        </w:r>
        <w:r w:rsidRPr="000445F4">
          <w:rPr>
            <w:rFonts w:ascii="Lava Pro Reg" w:hAnsi="Lava Pro Reg"/>
            <w:sz w:val="16"/>
            <w:szCs w:val="16"/>
            <w:lang w:val="ro-RO"/>
          </w:rPr>
          <w:t>2</w:t>
        </w:r>
        <w:r w:rsidRPr="000445F4">
          <w:rPr>
            <w:rFonts w:ascii="Lava Pro Reg" w:hAnsi="Lava Pro Reg"/>
            <w:sz w:val="16"/>
            <w:szCs w:val="16"/>
          </w:rPr>
          <w:fldChar w:fldCharType="end"/>
        </w:r>
      </w:p>
    </w:sdtContent>
  </w:sdt>
  <w:p w14:paraId="389C4E06" w14:textId="77777777" w:rsidR="00DA4E69" w:rsidRDefault="00DA4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7633E" w14:textId="77777777" w:rsidR="002D43DC" w:rsidRDefault="002D43DC">
      <w:pPr>
        <w:spacing w:after="0" w:line="240" w:lineRule="auto"/>
      </w:pPr>
      <w:r>
        <w:separator/>
      </w:r>
    </w:p>
  </w:footnote>
  <w:footnote w:type="continuationSeparator" w:id="0">
    <w:p w14:paraId="22D3E54C" w14:textId="77777777" w:rsidR="002D43DC" w:rsidRDefault="002D43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19"/>
    <w:rsid w:val="00243EB3"/>
    <w:rsid w:val="002D43DC"/>
    <w:rsid w:val="00302D19"/>
    <w:rsid w:val="0031241D"/>
    <w:rsid w:val="003E0A68"/>
    <w:rsid w:val="003F138B"/>
    <w:rsid w:val="00602C4C"/>
    <w:rsid w:val="008662DB"/>
    <w:rsid w:val="00B65369"/>
    <w:rsid w:val="00C9230B"/>
    <w:rsid w:val="00D125F1"/>
    <w:rsid w:val="00DA4E69"/>
    <w:rsid w:val="00E8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6A50B"/>
  <w15:chartTrackingRefBased/>
  <w15:docId w15:val="{D612BCFA-D21D-45F5-8C45-E252EC77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D19"/>
    <w:pPr>
      <w:spacing w:after="160" w:line="259" w:lineRule="auto"/>
    </w:pPr>
    <w:rPr>
      <w:rFonts w:asciiTheme="minorHAnsi" w:hAnsiTheme="minorHAnsi"/>
      <w:sz w:val="22"/>
      <w:szCs w:val="22"/>
      <w:lang w:val="ro-MD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D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D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D1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D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D1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D1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D1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D1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D1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D19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D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D19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D19"/>
    <w:rPr>
      <w:rFonts w:asciiTheme="minorHAnsi" w:eastAsiaTheme="majorEastAsia" w:hAnsiTheme="minorHAnsi" w:cstheme="majorBidi"/>
      <w:i/>
      <w:iCs/>
      <w:color w:val="2E74B5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D19"/>
    <w:rPr>
      <w:rFonts w:asciiTheme="minorHAnsi" w:eastAsiaTheme="majorEastAsia" w:hAnsiTheme="minorHAnsi" w:cstheme="majorBidi"/>
      <w:color w:val="2E74B5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D19"/>
    <w:rPr>
      <w:rFonts w:asciiTheme="minorHAnsi" w:eastAsiaTheme="majorEastAsia" w:hAnsiTheme="minorHAnsi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D19"/>
    <w:rPr>
      <w:rFonts w:asciiTheme="minorHAnsi" w:eastAsiaTheme="majorEastAsia" w:hAnsiTheme="minorHAnsi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D19"/>
    <w:rPr>
      <w:rFonts w:asciiTheme="minorHAnsi" w:eastAsiaTheme="majorEastAsia" w:hAnsiTheme="minorHAnsi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D19"/>
    <w:rPr>
      <w:rFonts w:asciiTheme="minorHAnsi" w:eastAsiaTheme="majorEastAsia" w:hAnsiTheme="minorHAnsi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302D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D19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D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02D19"/>
    <w:rPr>
      <w:rFonts w:asciiTheme="minorHAnsi" w:eastAsiaTheme="majorEastAsia" w:hAnsiTheme="minorHAnsi" w:cstheme="majorBidi"/>
      <w:color w:val="595959" w:themeColor="text1" w:themeTint="A6"/>
      <w:spacing w:val="15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302D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D19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302D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D1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D1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D19"/>
    <w:rPr>
      <w:i/>
      <w:iCs/>
      <w:color w:val="2E74B5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302D19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302D19"/>
    <w:rPr>
      <w:rFonts w:asciiTheme="minorHAnsi" w:hAnsiTheme="minorHAnsi"/>
      <w:sz w:val="22"/>
      <w:szCs w:val="22"/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Другое_"/>
    <w:basedOn w:val="DefaultParagraphFont"/>
    <w:link w:val="a0"/>
    <w:rsid w:val="00302D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0">
    <w:name w:val="Другое"/>
    <w:basedOn w:val="Normal"/>
    <w:link w:val="a"/>
    <w:rsid w:val="00302D19"/>
    <w:pPr>
      <w:widowControl w:val="0"/>
      <w:shd w:val="clear" w:color="auto" w:fill="FFFFFF"/>
      <w:spacing w:after="0" w:line="252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A4E69"/>
    <w:pPr>
      <w:tabs>
        <w:tab w:val="center" w:pos="4513"/>
        <w:tab w:val="right" w:pos="9026"/>
      </w:tabs>
      <w:spacing w:after="0" w:line="240" w:lineRule="auto"/>
    </w:pPr>
    <w:rPr>
      <w:kern w:val="0"/>
      <w:lang w:val="ru-RU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A4E69"/>
    <w:rPr>
      <w:rFonts w:asciiTheme="minorHAnsi" w:hAnsiTheme="minorHAnsi"/>
      <w:kern w:val="0"/>
      <w:sz w:val="22"/>
      <w:szCs w:val="22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Tabunșcic</dc:creator>
  <cp:keywords/>
  <dc:description/>
  <cp:lastModifiedBy>Valentin Begliță</cp:lastModifiedBy>
  <cp:revision>3</cp:revision>
  <cp:lastPrinted>2026-02-13T08:40:00Z</cp:lastPrinted>
  <dcterms:created xsi:type="dcterms:W3CDTF">2026-02-13T09:34:00Z</dcterms:created>
  <dcterms:modified xsi:type="dcterms:W3CDTF">2026-02-26T09:40:00Z</dcterms:modified>
</cp:coreProperties>
</file>