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516"/>
        <w:tblW w:w="15014" w:type="dxa"/>
        <w:tblLayout w:type="fixed"/>
        <w:tblLook w:val="04A0" w:firstRow="1" w:lastRow="0" w:firstColumn="1" w:lastColumn="0" w:noHBand="0" w:noVBand="1"/>
      </w:tblPr>
      <w:tblGrid>
        <w:gridCol w:w="1890"/>
        <w:gridCol w:w="945"/>
        <w:gridCol w:w="236"/>
        <w:gridCol w:w="898"/>
        <w:gridCol w:w="1276"/>
        <w:gridCol w:w="3827"/>
        <w:gridCol w:w="4320"/>
        <w:gridCol w:w="1260"/>
        <w:gridCol w:w="19"/>
        <w:gridCol w:w="343"/>
      </w:tblGrid>
      <w:tr w:rsidR="00215758" w:rsidRPr="00905CFA" w:rsidTr="00C97B7E">
        <w:trPr>
          <w:gridAfter w:val="1"/>
          <w:wAfter w:w="343" w:type="dxa"/>
          <w:trHeight w:val="685"/>
        </w:trPr>
        <w:tc>
          <w:tcPr>
            <w:tcW w:w="14671" w:type="dxa"/>
            <w:gridSpan w:val="9"/>
            <w:vAlign w:val="center"/>
          </w:tcPr>
          <w:p w:rsidR="00215758" w:rsidRPr="00905CFA" w:rsidRDefault="008F7CD8">
            <w:pPr>
              <w:spacing w:after="0" w:line="240" w:lineRule="auto"/>
              <w:jc w:val="right"/>
              <w:rPr>
                <w:rFonts w:ascii="Times New Roman" w:eastAsia="Times New Roman" w:hAnsi="Times New Roman" w:cs="Times New Roman"/>
                <w:sz w:val="20"/>
                <w:szCs w:val="20"/>
                <w:lang w:val="it-IT"/>
              </w:rPr>
            </w:pPr>
            <w:r w:rsidRPr="00905CFA">
              <w:rPr>
                <w:rFonts w:ascii="Times New Roman" w:eastAsia="Times New Roman" w:hAnsi="Times New Roman" w:cs="Times New Roman"/>
                <w:b/>
                <w:sz w:val="20"/>
                <w:szCs w:val="20"/>
              </w:rPr>
              <w:br w:type="page"/>
            </w:r>
            <w:r w:rsidRPr="00905CFA">
              <w:rPr>
                <w:rFonts w:ascii="Times New Roman" w:eastAsia="Times New Roman" w:hAnsi="Times New Roman" w:cs="Times New Roman"/>
                <w:b/>
                <w:sz w:val="20"/>
                <w:szCs w:val="20"/>
                <w:lang w:val="ro-RO"/>
              </w:rPr>
              <w:br w:type="page"/>
            </w:r>
            <w:r w:rsidRPr="00905CFA">
              <w:rPr>
                <w:rFonts w:ascii="Times New Roman" w:eastAsia="Times New Roman" w:hAnsi="Times New Roman" w:cs="Times New Roman"/>
                <w:b/>
                <w:sz w:val="20"/>
                <w:szCs w:val="20"/>
              </w:rPr>
              <w:br w:type="page"/>
            </w:r>
            <w:r w:rsidRPr="00905CFA">
              <w:rPr>
                <w:rFonts w:ascii="Times New Roman" w:eastAsia="Times New Roman" w:hAnsi="Times New Roman" w:cs="Times New Roman"/>
                <w:b/>
                <w:sz w:val="20"/>
                <w:szCs w:val="20"/>
              </w:rPr>
              <w:br w:type="page"/>
            </w:r>
            <w:bookmarkStart w:id="0" w:name="_Toc356920194"/>
            <w:bookmarkStart w:id="1" w:name="_Toc449539095"/>
            <w:bookmarkStart w:id="2" w:name="_Toc392180206"/>
            <w:r w:rsidRPr="00905CFA">
              <w:rPr>
                <w:rFonts w:ascii="Times New Roman" w:eastAsia="Times New Roman" w:hAnsi="Times New Roman" w:cs="Times New Roman"/>
                <w:b/>
                <w:sz w:val="20"/>
                <w:szCs w:val="20"/>
              </w:rPr>
              <w:t xml:space="preserve">                                                                                                                                                                                                                                      </w:t>
            </w:r>
            <w:r w:rsidRPr="00905CFA">
              <w:rPr>
                <w:rFonts w:ascii="Times New Roman" w:eastAsia="Times New Roman" w:hAnsi="Times New Roman" w:cs="Times New Roman"/>
                <w:sz w:val="20"/>
                <w:szCs w:val="20"/>
                <w:lang w:val="it-IT"/>
              </w:rPr>
              <w:t>Anexa nr. 22</w:t>
            </w:r>
          </w:p>
          <w:p w:rsidR="00215758" w:rsidRPr="00905CFA" w:rsidRDefault="008F7CD8">
            <w:pPr>
              <w:spacing w:after="0" w:line="240" w:lineRule="auto"/>
              <w:jc w:val="right"/>
              <w:rPr>
                <w:rFonts w:ascii="Times New Roman" w:eastAsia="Times New Roman" w:hAnsi="Times New Roman" w:cs="Times New Roman"/>
                <w:sz w:val="20"/>
                <w:szCs w:val="20"/>
                <w:lang w:val="it-IT"/>
              </w:rPr>
            </w:pPr>
            <w:r w:rsidRPr="00905CFA">
              <w:rPr>
                <w:rFonts w:ascii="Times New Roman" w:eastAsia="Times New Roman" w:hAnsi="Times New Roman" w:cs="Times New Roman"/>
                <w:sz w:val="20"/>
                <w:szCs w:val="20"/>
                <w:lang w:val="it-IT"/>
              </w:rPr>
              <w:t xml:space="preserve">                                                                                                                                                                                       la Documentația standard nr.115</w:t>
            </w:r>
          </w:p>
          <w:p w:rsidR="00215758" w:rsidRPr="00905CFA" w:rsidRDefault="008F7CD8">
            <w:pPr>
              <w:spacing w:after="0" w:line="240" w:lineRule="auto"/>
              <w:jc w:val="right"/>
              <w:rPr>
                <w:rFonts w:ascii="Times New Roman" w:eastAsia="Times New Roman" w:hAnsi="Times New Roman" w:cs="Times New Roman"/>
                <w:sz w:val="20"/>
                <w:szCs w:val="20"/>
                <w:lang w:val="it-IT"/>
              </w:rPr>
            </w:pPr>
            <w:r w:rsidRPr="00905CFA">
              <w:rPr>
                <w:rFonts w:ascii="Times New Roman" w:eastAsia="Times New Roman" w:hAnsi="Times New Roman" w:cs="Times New Roman"/>
                <w:sz w:val="20"/>
                <w:szCs w:val="20"/>
                <w:lang w:val="it-IT"/>
              </w:rPr>
              <w:t xml:space="preserve">                                                                                                                                                                             din “15” septembrie 2021</w:t>
            </w:r>
          </w:p>
          <w:p w:rsidR="00215758" w:rsidRPr="00905CFA" w:rsidRDefault="008F7CD8">
            <w:pPr>
              <w:keepNext/>
              <w:keepLines/>
              <w:spacing w:before="200" w:after="0" w:line="240" w:lineRule="auto"/>
              <w:jc w:val="center"/>
              <w:outlineLvl w:val="1"/>
              <w:rPr>
                <w:rFonts w:ascii="Times New Roman" w:eastAsia="Times New Roman" w:hAnsi="Times New Roman" w:cs="Times New Roman"/>
                <w:b/>
                <w:bCs/>
                <w:color w:val="5B9BD5"/>
                <w:sz w:val="20"/>
                <w:szCs w:val="20"/>
              </w:rPr>
            </w:pPr>
            <w:bookmarkStart w:id="3" w:name="_Hlk77771394"/>
            <w:r w:rsidRPr="00905CFA">
              <w:rPr>
                <w:rFonts w:ascii="Times New Roman" w:eastAsia="Times New Roman" w:hAnsi="Times New Roman" w:cs="Times New Roman"/>
                <w:b/>
                <w:bCs/>
                <w:color w:val="5B9BD5"/>
                <w:sz w:val="20"/>
                <w:szCs w:val="20"/>
                <w:lang w:val="ro-RO"/>
              </w:rPr>
              <w:t>Specificaţii tehnice</w:t>
            </w:r>
            <w:bookmarkEnd w:id="0"/>
            <w:bookmarkEnd w:id="1"/>
            <w:bookmarkEnd w:id="2"/>
            <w:bookmarkEnd w:id="3"/>
          </w:p>
        </w:tc>
      </w:tr>
      <w:tr w:rsidR="00215758" w:rsidRPr="00905CFA" w:rsidTr="00C97B7E">
        <w:trPr>
          <w:gridAfter w:val="1"/>
          <w:wAfter w:w="343" w:type="dxa"/>
          <w:trHeight w:val="548"/>
        </w:trPr>
        <w:tc>
          <w:tcPr>
            <w:tcW w:w="14671" w:type="dxa"/>
            <w:gridSpan w:val="9"/>
            <w:tcBorders>
              <w:bottom w:val="single" w:sz="4" w:space="0" w:color="auto"/>
            </w:tcBorders>
          </w:tcPr>
          <w:tbl>
            <w:tblPr>
              <w:tblW w:w="9633" w:type="dxa"/>
              <w:jc w:val="center"/>
              <w:tblLayout w:type="fixed"/>
              <w:tblCellMar>
                <w:top w:w="15" w:type="dxa"/>
                <w:left w:w="15" w:type="dxa"/>
                <w:bottom w:w="15" w:type="dxa"/>
                <w:right w:w="15" w:type="dxa"/>
              </w:tblCellMar>
              <w:tblLook w:val="04A0" w:firstRow="1" w:lastRow="0" w:firstColumn="1" w:lastColumn="0" w:noHBand="0" w:noVBand="1"/>
            </w:tblPr>
            <w:tblGrid>
              <w:gridCol w:w="9633"/>
            </w:tblGrid>
            <w:tr w:rsidR="00215758" w:rsidRPr="00905CFA">
              <w:trPr>
                <w:trHeight w:val="514"/>
                <w:jc w:val="center"/>
              </w:trPr>
              <w:tc>
                <w:tcPr>
                  <w:tcW w:w="9633" w:type="dxa"/>
                  <w:tcBorders>
                    <w:top w:val="nil"/>
                    <w:left w:val="nil"/>
                    <w:bottom w:val="nil"/>
                    <w:right w:val="nil"/>
                  </w:tcBorders>
                  <w:tcMar>
                    <w:top w:w="15" w:type="dxa"/>
                    <w:left w:w="45" w:type="dxa"/>
                    <w:bottom w:w="15" w:type="dxa"/>
                    <w:right w:w="45" w:type="dxa"/>
                  </w:tcMar>
                </w:tcPr>
                <w:p w:rsidR="00215758" w:rsidRPr="00905CFA" w:rsidRDefault="008F7CD8">
                  <w:pPr>
                    <w:framePr w:hSpace="180" w:wrap="around" w:vAnchor="page" w:hAnchor="margin" w:xAlign="center" w:y="516"/>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i/>
                      <w:iCs/>
                      <w:sz w:val="20"/>
                      <w:szCs w:val="20"/>
                      <w:lang w:val="ro-RO"/>
                    </w:rPr>
                    <w:t>[Acest tabel va fi completat de către ofertant în coloanele 2, 3, 4, 6, 7, iar de către autoritatea contractantă – în coloanele 1, 5,]</w:t>
                  </w:r>
                </w:p>
              </w:tc>
            </w:tr>
          </w:tbl>
          <w:p w:rsidR="00215758" w:rsidRPr="00905CFA" w:rsidRDefault="00215758">
            <w:pPr>
              <w:spacing w:after="0" w:line="240" w:lineRule="auto"/>
              <w:jc w:val="center"/>
              <w:rPr>
                <w:rFonts w:ascii="Times New Roman" w:eastAsia="Times New Roman" w:hAnsi="Times New Roman" w:cs="Times New Roman"/>
                <w:sz w:val="20"/>
                <w:szCs w:val="20"/>
                <w:lang w:val="ro-RO"/>
              </w:rPr>
            </w:pPr>
          </w:p>
        </w:tc>
      </w:tr>
      <w:tr w:rsidR="00215758" w:rsidRPr="00905CFA" w:rsidTr="00C97B7E">
        <w:trPr>
          <w:gridAfter w:val="1"/>
          <w:wAfter w:w="343" w:type="dxa"/>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Numărul procedurii de achiziției : Informatia se poate gasi  în SIA RSAP</w:t>
            </w:r>
            <w:r w:rsidR="00042B5F" w:rsidRPr="00905CFA">
              <w:rPr>
                <w:rFonts w:ascii="Times New Roman" w:eastAsia="Times New Roman" w:hAnsi="Times New Roman" w:cs="Times New Roman"/>
                <w:sz w:val="20"/>
                <w:szCs w:val="20"/>
                <w:lang w:val="ro-RO"/>
              </w:rPr>
              <w:t xml:space="preserve"> ocds-b3wdp1-MD-1781700192972</w:t>
            </w:r>
          </w:p>
        </w:tc>
      </w:tr>
      <w:tr w:rsidR="00215758" w:rsidRPr="00905CFA" w:rsidTr="00C97B7E">
        <w:trPr>
          <w:gridAfter w:val="1"/>
          <w:wAfter w:w="343" w:type="dxa"/>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215758" w:rsidRPr="00905CFA" w:rsidRDefault="008F7CD8" w:rsidP="00ED6BF7">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 xml:space="preserve">Obiectul achiziției: </w:t>
            </w:r>
            <w:r w:rsidRPr="00905CFA">
              <w:rPr>
                <w:rFonts w:ascii="Times New Roman" w:hAnsi="Times New Roman" w:cs="Times New Roman"/>
                <w:sz w:val="20"/>
                <w:szCs w:val="20"/>
              </w:rPr>
              <w:t xml:space="preserve">  </w:t>
            </w:r>
            <w:r w:rsidRPr="00905CFA">
              <w:rPr>
                <w:rFonts w:ascii="Times New Roman" w:hAnsi="Times New Roman" w:cs="Times New Roman"/>
                <w:b/>
                <w:bCs/>
                <w:sz w:val="20"/>
                <w:szCs w:val="20"/>
              </w:rPr>
              <w:t xml:space="preserve">  </w:t>
            </w:r>
            <w:r w:rsidRPr="00905CFA">
              <w:rPr>
                <w:rFonts w:ascii="Times New Roman" w:eastAsia="Times New Roman" w:hAnsi="Times New Roman" w:cs="Times New Roman"/>
                <w:b/>
                <w:bCs/>
                <w:sz w:val="20"/>
                <w:szCs w:val="20"/>
                <w:lang w:val="ro-RO"/>
              </w:rPr>
              <w:t xml:space="preserve">   </w:t>
            </w:r>
            <w:r w:rsidR="005F4378" w:rsidRPr="00905CFA">
              <w:rPr>
                <w:rFonts w:ascii="Times New Roman" w:hAnsi="Times New Roman" w:cs="Times New Roman"/>
                <w:sz w:val="20"/>
                <w:szCs w:val="20"/>
              </w:rPr>
              <w:t xml:space="preserve"> </w:t>
            </w:r>
            <w:r w:rsidR="002265C2" w:rsidRPr="00905CFA">
              <w:rPr>
                <w:rFonts w:ascii="Times New Roman" w:hAnsi="Times New Roman" w:cs="Times New Roman"/>
                <w:sz w:val="20"/>
                <w:szCs w:val="20"/>
              </w:rPr>
              <w:t xml:space="preserve"> </w:t>
            </w:r>
            <w:r w:rsidR="00F97E92" w:rsidRPr="00905CFA">
              <w:rPr>
                <w:rFonts w:ascii="Times New Roman" w:hAnsi="Times New Roman" w:cs="Times New Roman"/>
                <w:sz w:val="20"/>
                <w:szCs w:val="20"/>
              </w:rPr>
              <w:t xml:space="preserve"> </w:t>
            </w:r>
            <w:r w:rsidR="00ED6BF7" w:rsidRPr="00905CFA">
              <w:rPr>
                <w:rFonts w:ascii="Times New Roman" w:hAnsi="Times New Roman" w:cs="Times New Roman"/>
                <w:sz w:val="20"/>
                <w:szCs w:val="20"/>
              </w:rPr>
              <w:t xml:space="preserve"> </w:t>
            </w:r>
            <w:r w:rsidR="004C0B45" w:rsidRPr="00905CFA">
              <w:rPr>
                <w:rFonts w:ascii="Times New Roman" w:hAnsi="Times New Roman" w:cs="Times New Roman"/>
                <w:sz w:val="20"/>
                <w:szCs w:val="20"/>
              </w:rPr>
              <w:t xml:space="preserve"> </w:t>
            </w:r>
            <w:r w:rsidR="004C0B45" w:rsidRPr="00905CFA">
              <w:rPr>
                <w:rFonts w:ascii="Times New Roman" w:eastAsia="Times New Roman" w:hAnsi="Times New Roman" w:cs="Times New Roman"/>
                <w:b/>
                <w:bCs/>
                <w:sz w:val="20"/>
                <w:szCs w:val="20"/>
                <w:lang w:val="ro-RO"/>
              </w:rPr>
              <w:t>Servicii de organizare și desfășurare a evenimentului „Wine of Moldova” în Londra, Marea Britanie</w:t>
            </w:r>
            <w:r w:rsidR="00ED6BF7" w:rsidRPr="00905CFA">
              <w:rPr>
                <w:rFonts w:ascii="Times New Roman" w:eastAsia="Times New Roman" w:hAnsi="Times New Roman" w:cs="Times New Roman"/>
                <w:b/>
                <w:bCs/>
                <w:sz w:val="20"/>
                <w:szCs w:val="20"/>
                <w:lang w:val="ro-RO"/>
              </w:rPr>
              <w:t>.</w:t>
            </w:r>
          </w:p>
        </w:tc>
      </w:tr>
      <w:tr w:rsidR="00215758" w:rsidRPr="00905CFA" w:rsidTr="00C97B7E">
        <w:trPr>
          <w:gridAfter w:val="2"/>
          <w:wAfter w:w="362" w:type="dxa"/>
          <w:trHeight w:val="1026"/>
        </w:trPr>
        <w:tc>
          <w:tcPr>
            <w:tcW w:w="1890" w:type="dxa"/>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lang w:val="ro-RO"/>
              </w:rPr>
              <w:t xml:space="preserve">Denumirea bunurilor/serviciilor </w:t>
            </w:r>
          </w:p>
        </w:tc>
        <w:tc>
          <w:tcPr>
            <w:tcW w:w="945" w:type="dxa"/>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lang w:val="ro-RO"/>
              </w:rPr>
              <w:t>Denumirea modelului bunului/serviciului</w:t>
            </w:r>
          </w:p>
        </w:tc>
        <w:tc>
          <w:tcPr>
            <w:tcW w:w="1134" w:type="dxa"/>
            <w:gridSpan w:val="2"/>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lang w:val="ro-RO"/>
              </w:rPr>
              <w:t>Ţara de origine</w:t>
            </w:r>
          </w:p>
        </w:tc>
        <w:tc>
          <w:tcPr>
            <w:tcW w:w="1276" w:type="dxa"/>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lang w:val="ro-RO"/>
              </w:rPr>
              <w:t>Produ-cătorul</w:t>
            </w:r>
          </w:p>
        </w:tc>
        <w:tc>
          <w:tcPr>
            <w:tcW w:w="3827" w:type="dxa"/>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lang w:val="ro-RO"/>
              </w:rPr>
              <w:t>Specificarea tehnică deplină solicitată de către autoritatea contractantă</w:t>
            </w:r>
          </w:p>
          <w:p w:rsidR="00215758" w:rsidRPr="00905CFA" w:rsidRDefault="00215758">
            <w:pPr>
              <w:spacing w:after="0" w:line="240" w:lineRule="auto"/>
              <w:jc w:val="center"/>
              <w:rPr>
                <w:rFonts w:ascii="Times New Roman" w:eastAsia="Times New Roman" w:hAnsi="Times New Roman" w:cs="Times New Roman"/>
                <w:sz w:val="20"/>
                <w:szCs w:val="20"/>
                <w:lang w:val="ro-RO"/>
              </w:rPr>
            </w:pPr>
          </w:p>
        </w:tc>
        <w:tc>
          <w:tcPr>
            <w:tcW w:w="4320" w:type="dxa"/>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highlight w:val="yellow"/>
                <w:lang w:val="ro-RO"/>
              </w:rPr>
              <w:t>Specificarea tehnică deplină propusă de către ofertant</w:t>
            </w:r>
          </w:p>
          <w:p w:rsidR="00215758" w:rsidRPr="00905CFA" w:rsidRDefault="00215758">
            <w:pPr>
              <w:spacing w:after="0" w:line="240" w:lineRule="auto"/>
              <w:jc w:val="center"/>
              <w:rPr>
                <w:rFonts w:ascii="Times New Roman" w:eastAsia="Times New Roman" w:hAnsi="Times New Roman" w:cs="Times New Roman"/>
                <w:b/>
                <w:sz w:val="20"/>
                <w:szCs w:val="20"/>
                <w:lang w:val="ro-RO"/>
              </w:rPr>
            </w:pPr>
          </w:p>
        </w:tc>
        <w:tc>
          <w:tcPr>
            <w:tcW w:w="1260" w:type="dxa"/>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lang w:val="ro-RO"/>
              </w:rPr>
              <w:t>Standarde de referinţă</w:t>
            </w:r>
          </w:p>
        </w:tc>
      </w:tr>
      <w:tr w:rsidR="00215758" w:rsidRPr="00905CFA" w:rsidTr="00C97B7E">
        <w:trPr>
          <w:gridAfter w:val="2"/>
          <w:wAfter w:w="362" w:type="dxa"/>
          <w:trHeight w:val="278"/>
        </w:trPr>
        <w:tc>
          <w:tcPr>
            <w:tcW w:w="1890" w:type="dxa"/>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1</w:t>
            </w:r>
          </w:p>
        </w:tc>
        <w:tc>
          <w:tcPr>
            <w:tcW w:w="945" w:type="dxa"/>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3</w:t>
            </w:r>
          </w:p>
        </w:tc>
        <w:tc>
          <w:tcPr>
            <w:tcW w:w="1276" w:type="dxa"/>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4</w:t>
            </w:r>
          </w:p>
        </w:tc>
        <w:tc>
          <w:tcPr>
            <w:tcW w:w="3827" w:type="dxa"/>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5</w:t>
            </w:r>
          </w:p>
        </w:tc>
        <w:tc>
          <w:tcPr>
            <w:tcW w:w="4320" w:type="dxa"/>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6</w:t>
            </w:r>
          </w:p>
        </w:tc>
        <w:tc>
          <w:tcPr>
            <w:tcW w:w="1260" w:type="dxa"/>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7</w:t>
            </w:r>
          </w:p>
        </w:tc>
      </w:tr>
      <w:tr w:rsidR="00215758" w:rsidRPr="00905CFA" w:rsidTr="00C97B7E">
        <w:trPr>
          <w:gridAfter w:val="2"/>
          <w:wAfter w:w="362" w:type="dxa"/>
          <w:trHeight w:val="414"/>
        </w:trPr>
        <w:tc>
          <w:tcPr>
            <w:tcW w:w="1890" w:type="dxa"/>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lang w:val="ro-RO"/>
              </w:rPr>
              <w:t>Bunuri/servicii</w:t>
            </w:r>
          </w:p>
        </w:tc>
        <w:tc>
          <w:tcPr>
            <w:tcW w:w="945" w:type="dxa"/>
            <w:tcBorders>
              <w:top w:val="single" w:sz="4" w:space="0" w:color="auto"/>
              <w:left w:val="single" w:sz="4" w:space="0" w:color="auto"/>
              <w:bottom w:val="single" w:sz="4" w:space="0" w:color="auto"/>
              <w:right w:val="single" w:sz="4" w:space="0" w:color="auto"/>
            </w:tcBorders>
            <w:vAlign w:val="center"/>
          </w:tcPr>
          <w:p w:rsidR="00215758" w:rsidRPr="00905CFA" w:rsidRDefault="00215758">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15758" w:rsidRPr="00905CFA" w:rsidRDefault="00215758">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215758" w:rsidRPr="00905CFA" w:rsidRDefault="00215758">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rsidR="00215758" w:rsidRPr="00905CFA" w:rsidRDefault="00215758">
            <w:pPr>
              <w:spacing w:after="0" w:line="240" w:lineRule="auto"/>
              <w:rPr>
                <w:rFonts w:ascii="Times New Roman" w:eastAsia="Times New Roman" w:hAnsi="Times New Roman" w:cs="Times New Roman"/>
                <w:sz w:val="20"/>
                <w:szCs w:val="20"/>
                <w:lang w:val="ro-RO"/>
              </w:rPr>
            </w:pPr>
          </w:p>
        </w:tc>
        <w:tc>
          <w:tcPr>
            <w:tcW w:w="4320" w:type="dxa"/>
            <w:tcBorders>
              <w:top w:val="single" w:sz="4" w:space="0" w:color="auto"/>
              <w:left w:val="single" w:sz="4" w:space="0" w:color="auto"/>
              <w:bottom w:val="single" w:sz="4" w:space="0" w:color="auto"/>
              <w:right w:val="single" w:sz="4" w:space="0" w:color="auto"/>
            </w:tcBorders>
          </w:tcPr>
          <w:p w:rsidR="00215758" w:rsidRPr="00905CFA" w:rsidRDefault="00215758">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215758" w:rsidRPr="00905CFA" w:rsidRDefault="00215758">
            <w:pPr>
              <w:spacing w:after="0" w:line="240" w:lineRule="auto"/>
              <w:rPr>
                <w:rFonts w:ascii="Times New Roman" w:eastAsia="Times New Roman" w:hAnsi="Times New Roman" w:cs="Times New Roman"/>
                <w:sz w:val="20"/>
                <w:szCs w:val="20"/>
                <w:lang w:val="ro-RO"/>
              </w:rPr>
            </w:pPr>
          </w:p>
        </w:tc>
      </w:tr>
      <w:tr w:rsidR="00215758" w:rsidRPr="00905CFA" w:rsidTr="00C97B7E">
        <w:trPr>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215758" w:rsidRPr="00905CFA" w:rsidRDefault="00215758" w:rsidP="00ED6BF7">
            <w:pPr>
              <w:spacing w:after="0" w:line="240" w:lineRule="auto"/>
              <w:jc w:val="center"/>
              <w:rPr>
                <w:rFonts w:ascii="Times New Roman" w:eastAsia="Times New Roman" w:hAnsi="Times New Roman" w:cs="Times New Roman"/>
                <w:b/>
                <w:bCs/>
                <w:sz w:val="20"/>
                <w:szCs w:val="20"/>
                <w:lang w:val="ro-RO"/>
              </w:rPr>
            </w:pPr>
          </w:p>
        </w:tc>
        <w:tc>
          <w:tcPr>
            <w:tcW w:w="343" w:type="dxa"/>
          </w:tcPr>
          <w:p w:rsidR="00215758" w:rsidRPr="00905CFA" w:rsidRDefault="00215758">
            <w:pPr>
              <w:spacing w:after="0" w:line="240" w:lineRule="auto"/>
              <w:rPr>
                <w:rFonts w:ascii="Times New Roman" w:hAnsi="Times New Roman" w:cs="Times New Roman"/>
                <w:sz w:val="20"/>
                <w:szCs w:val="20"/>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spacing w:before="120"/>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t>Servicii de închiriere locație</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r w:rsidRPr="00905CFA">
              <w:rPr>
                <w:rFonts w:ascii="Times New Roman" w:eastAsia="Times New Roman" w:hAnsi="Times New Roman" w:cs="Times New Roman"/>
                <w:color w:val="FF0000"/>
                <w:sz w:val="20"/>
                <w:szCs w:val="20"/>
              </w:rPr>
              <w:t>[ as e completa de OFERTANT]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r w:rsidRPr="00905CFA">
              <w:rPr>
                <w:rFonts w:ascii="Times New Roman" w:eastAsia="Times New Roman" w:hAnsi="Times New Roman" w:cs="Times New Roman"/>
                <w:color w:val="FF0000"/>
                <w:sz w:val="20"/>
                <w:szCs w:val="20"/>
              </w:rPr>
              <w:t>[ as e completa de OFERTANT dupa caz]</w:t>
            </w: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r w:rsidRPr="00905CFA">
              <w:rPr>
                <w:rFonts w:ascii="Times New Roman" w:eastAsia="Times New Roman" w:hAnsi="Times New Roman" w:cs="Times New Roman"/>
                <w:color w:val="FF0000"/>
                <w:sz w:val="20"/>
                <w:szCs w:val="20"/>
              </w:rPr>
              <w:t>[ as e completa de OFERTANTdupa caz]</w:t>
            </w: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Prestatorul va asigura închirierea exclusivă a unei locații în centrul Londrei (Zonele 1–2), pentru organizarea unei degustări profesionale de vinuri (B2B) și a unui eveniment de networking (B2C).</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Cerințe minime: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Capacitate minimă: 70 participanți pentru degustare și 70 participanți pentru evenimentul de seară;</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Zonă dedicată pentru minimum 25 producători (20 vinării și 5 branduri de băuturi spirtoase);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 Spațiu pentru masterclass cu ecran LED/proiector, sonorizare și aproximativ 30 locuri;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Utilizare exclusivă a locației pe durata montării, desfășurării și demontării;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Infrastructură pentru servirea vinului (mese de degustare, gheață, scuipătoare etc.);</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Acces logistic pentru încărcare/descărcare și depozitare;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Permisiunea utilizării furnizorilor externi de vinuri, branding, catering și divertisment;</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Iluminat, Wi‑Fi, energie electrică și facilități AV;</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Posibilitatea transformării spațiului din format degustare în format networking;</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xml:space="preserve">- Servicii  de spălare a paharelor pe întreaga durată a evenimentului </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xml:space="preserve">Prestatorul va prezenta minimum 3 opțiuni de locații. </w:t>
            </w:r>
            <w:r w:rsidRPr="00EF4D8A">
              <w:rPr>
                <w:rFonts w:ascii="Times New Roman" w:hAnsi="Times New Roman" w:cs="Times New Roman"/>
                <w:b/>
                <w:sz w:val="20"/>
                <w:szCs w:val="20"/>
                <w:lang w:val="ro-RO"/>
              </w:rPr>
              <w:t>Data estimativă: 21, 22, 23 sau 24 septembrie 2026</w:t>
            </w:r>
            <w:r w:rsidRPr="00905CFA">
              <w:rPr>
                <w:rFonts w:ascii="Times New Roman" w:hAnsi="Times New Roman" w:cs="Times New Roman"/>
                <w:sz w:val="20"/>
                <w:szCs w:val="20"/>
                <w:lang w:val="ro-RO"/>
              </w:rPr>
              <w:t xml:space="preserve">. Data finală va fi confirmată de ONVV. Locația </w:t>
            </w:r>
            <w:r>
              <w:rPr>
                <w:rFonts w:ascii="Times New Roman" w:hAnsi="Times New Roman" w:cs="Times New Roman"/>
                <w:sz w:val="20"/>
                <w:szCs w:val="20"/>
                <w:lang w:val="ro-RO"/>
              </w:rPr>
              <w:t>finală va fi aprobată de ON</w:t>
            </w:r>
            <w:bookmarkStart w:id="4" w:name="_GoBack"/>
            <w:bookmarkEnd w:id="4"/>
            <w:r>
              <w:rPr>
                <w:rFonts w:ascii="Times New Roman" w:hAnsi="Times New Roman" w:cs="Times New Roman"/>
                <w:sz w:val="20"/>
                <w:szCs w:val="20"/>
                <w:lang w:val="ro-RO"/>
              </w:rPr>
              <w:t xml:space="preserve">VV. </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rPr>
            </w:pPr>
            <w:r w:rsidRPr="00905CFA">
              <w:rPr>
                <w:rFonts w:ascii="Times New Roman" w:eastAsia="Times New Roman" w:hAnsi="Times New Roman" w:cs="Times New Roman"/>
                <w:color w:val="FF0000"/>
                <w:sz w:val="20"/>
                <w:szCs w:val="20"/>
              </w:rPr>
              <w:lastRenderedPageBreak/>
              <w:t>[ as e completa de OFERTANT]</w:t>
            </w: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r w:rsidRPr="00905CFA">
              <w:rPr>
                <w:rFonts w:ascii="Times New Roman" w:eastAsia="Times New Roman" w:hAnsi="Times New Roman" w:cs="Times New Roman"/>
                <w:color w:val="FF0000"/>
                <w:sz w:val="20"/>
                <w:szCs w:val="20"/>
              </w:rPr>
              <w:t>[ as e completa de OFERTANT dupa caz]</w:t>
            </w: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spacing w:before="120"/>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Închiriere echipamente pentru eveniment</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Închirierea completă a echipamentelor pentru un eveniment combinat de degustare profesională de vinuri, masterclass și eveniment de networking de seară, organizat la Londra.</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Echipamentele furnizate trebuie să fie suficiente pentru desfășurarea următoarelor formate de eveniment:</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Degustare profesională de tip walk-around pentru aproximativ 70–100 participanți, cu participarea a 25 de producători (20 de vinării și 5 branduri de băuturi spirtoase), distribuiți în două zone de degustare;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Sesiune de masterclass pentru aproximativ 30 de participanți așezați, incluzând degustarea a până la 9 vinuri per participant;</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Eveniment de networking de seară în format recepție tip cocktail (standing reception), pentru aproximativ 70–150 de participanți.</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Echipamentele trebuie să includă toate elementele necesare pentru buna desfășurare a evenimentului, inclusiv:</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-pahare profesionale pentru degustarea vinului;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-scuipătoare pentru degustare;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-frapiere/găleți pentru gheață;</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-aprovizionare continuă cu gheață alimentară;</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-biscuiți pentru degustări;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-mese pentru degustare;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-tejghele și stații de servire;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-precum și orice alt mobilier și echipament operațional necesar pentru organizarea corespunzătoare a evenimentului.</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va asigura compatibilitatea deplină a echipamentelor atât cu formatul evenimentului de zi, cât și cu cel al evenimentului de seară și va specifica în mod clar în ofertă toate cantitățile finale propuse.</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Servicii de curățenie a locației</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Prestarea serviciilor de curățenie a locației înainte, în timpul și după desfășurarea evenimentului, inclusiv colectarea și evacuarea deșeurilor, menținerea curățeniei în zonele destinate participanților, în zonele de degustare și în spațiile dedicate masterclass-urilor, precum și efectuarea curățeniei finale și readucerea locației la starea inițială, în conformitate cu cerințele locației.</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 toate costurile aferente activităților de curățenie, inclusiv personalul, echipamentele, materialele consumabile și orice alte resurse necesare pentru desfășurarea evenimentului.</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t>Suport pentru parteneriate media</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parteneriatelor media și acordarea suportului promoțional pentru eveniment, incluzând activități desfășurate înainte de eveniment, în timpul acestuia și după încheierea sa.</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xml:space="preserve">Suport pentru elaborarea listei de invitați și recrutarea direcționată a participanților din </w:t>
            </w:r>
            <w:r w:rsidRPr="00905CFA">
              <w:rPr>
                <w:rFonts w:ascii="Times New Roman" w:hAnsi="Times New Roman" w:cs="Times New Roman"/>
                <w:sz w:val="20"/>
                <w:szCs w:val="20"/>
                <w:lang w:val="ro-RO"/>
              </w:rPr>
              <w:lastRenderedPageBreak/>
              <w:t>sectorul profesional (trade) și a consumatorilor;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Suport pentru administrarea unei pagini online de înregistrare/înscriere pentru participanții la eveniment;</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Promovare prin bannere și alte formate relevante de promovare online;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Suport de marketing și comunicare pentru recrutarea participanților și creșterea ratei de participare;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parteneriatelor media și implicarea părților interesate relevante;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Identificarea, colaționarea listelor, recrutarea și coordonarea reprezentanților mass-media, a creatorilor de conținut și a influencerilor relevanți pentru promovarea evenimentului;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Asigurarea participării a aproximativ 20 reprezentanți media și 10 influenceri la eveniment;</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Obținerea aproximativ 15 materiale de acoperire media (media coverage pieces);</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Monitorizarea și raportarea rezultatelor activităților de promovare și comunicare.</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Pachetul de parteneriat media va include obligatoriu realizarea unui material editorial (articol, reportaj sau material similar) post-eveniment.</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Furnizorul va specifica în mod clar:</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Canalele media și partenerii media propuși;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Publicațiile, creatorii de conținut și categoriile de influenceri vizate;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Livrabilele și materialele promoționale care vor fi realizate;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Calendarul activităților;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Audiența estimată și impactul preconizat;</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Servicii de catering</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Prestarea serviciilor de catering pentru degustarea profesională desfășurată pe parcursul zilei (aproximativ 70 de participanți) și pentru evenimentul de networking organizat seara (până la aproximativ 60 de participanți).</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Pe parcursul zilei: canapé-uri / finger food.</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În cadrul evenimentului de seară: canapé-uri, bowl food și/sau platouri pentru servire comună (sharing platters), în format recepție cu participanți în picioare (standing reception).</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va asigura:</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Opțiuni vegetariene (obligatoriu) și posibilitatea de a răspunde diferitelor cerințe alimentare și dietetice;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va descrie conceptul meniului propus, planificarea porțiilor.</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Serviciile de tipărire a materialelor</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Producerea, tipărirea și livrarea materialelor branduite, a elementelor de semnalistică și a elementelor de decor și amenajare pentru evenimentul „Wine of Moldova”, în conformitate cu conceptul de campanie aprobat și cu ghidul de identitate vizuală.</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60 de broșuri de degustare pentru sesiunea de degustare de tip walk-around, destinate unui număr de 80–100 de participanți;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25 de panouri de identificare a producătorilor, câte unul pentru fiecare producător participant;</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30–50 de fișe de degustare pentru sesiunea de masterclass;</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80–100 de fișe informative despre eveniment.</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2. Semnalistică și branding pentru eveniment (cerințe minime)</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1 banner tip roll-up de dimensiuni mari, personalizat cu identitatea vizuală a evenimentului, cu dimensiuni aproximative de 100 × 200 cm;</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Set complet de indicatoare direcționale și de orientare pentru ghidarea participanților în locație (minimum 2 unități amplasate în zonele-cheie), cu dimensiuni aproximative de 60 × 160 cm fiecare;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Aplicarea logo-urilor și a elementelor de identitate vizuală pe suprafețe din locație și alte suporturi de branding amplasate în principalele zone ale evenimentului, incluzând afișarea logo-urilor celor 25 de companii participante (aprox. 20 × 20 cm fiecare) pe panouri, autocolante, materiale tipărite sau alte elemente de semnalistică și branding.</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va furniza:</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Lista detaliată a tuturor materialelor de branding, semnalistică și decor propuse;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Cantitățile exacte, dimensiunile și specificațiile de producție pentru fiecare element;</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Un plan clar de amplasare, care să indice locațiile în care vor fi instalate elementele de branding și decor;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Practici de producție sustenabile și materiale ecologice, acolo unde este posibil.</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Serviciile de creație și design</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Serviciile de creație și studio pentru evenimentul „Wine of Moldova”, în conformitate cu conceptul de campanie aprobat și Brandbook-ul ONVV.</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Dezvoltarea și adaptarea unui (1) concept creativ și a unei direcții vizuale pentru eveniment, supuse aprobării prealabile a ONVV;</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Design și machetare pentru minimum:</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Broșurile de degustare (tasting booklets);</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25 elemente de semnalizare pentru producători;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1 roll-up banner;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 2 indicatoare direcționale;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 1 panou sau sistem central de afișare a logo-urilor partenerilor/producătorilor;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Materiale destinate degustărilor și masterclass-urilor (tasting notes, tasting mats, tasting sheets etc.)</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Adaptarea și integrarea identității vizuale pentru afișarea logo-urilor celor 25 de companii participante pe toate materialele relevante;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Pregătirea fișierelor finale pentru tipar și producție, după aprobarea finală a ONVV;</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2 runde de revizii pentru fiecare categorie principală de material sau până la obținerea aprobării ONVV;</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Toate conceptele creative, propunerile de design, machetele, materialele finale și elementele de branding vor fi prezentate spre examinare și aprobare ONVV înainte de producție, tipărire și instalare. Niciun material nu va fi produs sau amplasat fără aprobarea prealabilă a ONVV.</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trebuie să prezinte:</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Lista completă a livrabilelor creative incluse;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Procesul de aprobare și calendarul de dezvoltare a materialelor;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Numărul de revizii incluse și modalitatea de gestionare a modificărilor;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Calendarul de transmitere a materialelor către ONVV pentru aprobare.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Practici de producție sustenabile și materiale ecologice, unde este posibil.</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xml:space="preserve">Formatul livrabilelor finale (editabil și needitabil) </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Toate materialele finale vor fi livrate către ONVV în format editabil și pregătit pentru producție/tipar, împreună cu versiunile finale în format PDF.</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Sesiuni de masterclass</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Două (2) sesiuni de masterclass, fiecare cu o durată de 1,5 ore, organizate pentru aproximativ 30 de participanți per sesiune.</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operațională completă a ambelor sesiuni de masterclass;</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Amenajarea sălii și organizarea locurilor pentru aproximativ 30 de participanți;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Asigurarea tuturor materialelor și echipamentelor necesare pentru degustare;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Pregătirea și distribuirea fișelor de degustare și a materialelor-suport;</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Asigurarea serviciilor de servire și turnare a vinurilor pe durata sesiunilor;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Asigurarea suportului audio-video și tehnic, inclusiv ecran LED sau proiector, microfon, sistem de sonorizare, telecomandă pentru prezentare (clicker), conectivitate pentru laptop și asistență tehnică la fața locului pe întreaga durată a sesiunilor;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Montarea și demontarea spațiului destinat masterclass-urilor înainte și după fiecare sesiune;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Contractarea și coordonarea unui expert în vin, somelier, educator în domeniul vinului sau alt profesionist relevant din industrie, care va modera și susține sesiunile de masterclass;</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Asigurarea a minimum două (2) persoane de suport operațional care vor asista desfășurarea masterclass-urilor, inclusiv sprijin pentru pregătirea materialelor, servire, turnare și coordonare logistică pe durata sesiunilor.</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trebuie să prezinte:</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trei (3) propuneri de somelieri, educatori în domeniul vinului sau experți din industria vinului, calificați pentru susținerea masterclass-urilor, însoțite de scurte biografii, experiență relevantă și calificări profesionale, pentru examinarea și aprobarea prealabilă de către ONVV;</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Configurația operațională propusă pentru desfășurarea masterclass-urilor;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Structura echipei implicate și responsabilitățile acesteia;</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Lista detaliată a echipamentelor tehnice incluse în ofertă.</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Toți experții/somelierii propuși vor fi supuși aprobării prealabile a ONVV.</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Planificarea și servicii de  management a evenimentului</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Planificarea și coordonarea integrală a evenimentului „Wine of Moldova”, incluzând degustarea de tip walk-around pentru profesioniști, sesiunile de masterclass și evenimentul de networking de seară.</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include planificarea unui eveniment de tip walkaround, organizarea masterclass-urilor și a evenimentului de seară, precum și asigurarea locațiilor, a opțiunilor de catering, atragerea și confirmarea participanților din zona comercială (trade attendees), gestionarea tuturor furnizorilor și coordonarea tuturor părților implicate.</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conceptului general al evenimentului și planificarea operațională;</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Selectarea și coordonarea locațiilor, precum și programarea tuturor formatelor de eveniment;</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Elaborarea și gestionarea unui calendar detaliat al evenimentului și a unui plan complet de producție;</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serviciilor de catering și a opțiunilor de alimentație, în conformitate cu cerințele evenimentului;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Suport în recrutarea, confirmarea și coordonarea participanților din zona trade și a invitaților;</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transversală a tuturor părților interesate și a echipelor operaționale implicate în desfășurarea evenimentului;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Managementul tuturor furnizorilor și asigurarea livrării conforme a serviciilor pe întreaga durată a proiectului.</w:t>
            </w:r>
          </w:p>
          <w:p w:rsidR="00905CFA" w:rsidRPr="00905CFA" w:rsidRDefault="00905CFA" w:rsidP="00905CFA">
            <w:pPr>
              <w:jc w:val="both"/>
              <w:rPr>
                <w:rFonts w:ascii="Times New Roman" w:hAnsi="Times New Roman" w:cs="Times New Roman"/>
                <w:sz w:val="20"/>
                <w:szCs w:val="20"/>
                <w:lang w:val="ro-RO"/>
              </w:rPr>
            </w:pP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Management și coordonare operațională în ziua evenimentului</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Management și coordonare operațională la fața locului a evenimentului, incluzând inspecția prealabilă a locației (recce), supervizarea montajului, desfășurarea evenimentului și coordonarea activităților de demontare după încheierea acestuia.</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patru (4) membri ai echipei vor fi prezenți la fața locului pe toată durata montajului, desfășurării și demontării evenimentului.</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Inspecția prealabilă a locației și suport pentru planificarea operațională;</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Supravegherea activităților de montaj și demontaj;</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Coordonarea la fața locului a furnizorilor, părților interesate și personalului implicat în eveniment;</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Suport pentru sesiunile de degustare de tip walk-around și pentru evenimentul de networking de seară;</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Întâmpinarea și asistența invitaților;</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logisticii și a cerințelor operaționale pe întreaga durată a evenimentului;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Management operațional în timp real pe toată durata desfășurării evenimentului.</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Servicii profesionale de somelieri pentru eveniment</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Furnizarea de servicii profesionale de somelieri pentru a sprijini producătorii pe durata evenimentului, inclusiv în cadrul degustării de tip walk-around pentru profesioniști și al sesiunilor de masterclass.</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4 somelieri profesioniști cu minimum 2 ani de experiență în industria vinului;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Suport acordat producătorilor în servirea vinului, turnarea acestuia și interacțiunea cu oaspeții;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Asistență în timpul desfășurării masterclass-urilor și în implicarea participanților;</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Sprijin pentru coordonarea fluxului de degustare și respectarea standardelor de servire.</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va specifica:</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Numărul de somelieri propuși;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Profilurile profesionale și experiența relevantă;</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Alocarea somelierilor pe formatele evenimentului (degustare trade, masterclass, eveniment de seară, unde este cazul).</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Taxă de corkage și băuturi răcoritoare</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Furnizarea serviciilor de corkage și a alocației pentru băuturi răcoritoare pe durata evenimentului, acoperind atât degustarea de tip trade din timpul zilei, sesiunile de masterclass, cât și evenimentul de networking de seară.</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Taxe de corkage și manipulare pentru toate vinurile și băuturile servite în cadrul evenimentului;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Furnizarea de apă plată (0,5L), minimum 70 de sticle.</w:t>
            </w:r>
          </w:p>
        </w:tc>
        <w:tc>
          <w:tcPr>
            <w:tcW w:w="4320" w:type="dxa"/>
            <w:tcBorders>
              <w:left w:val="single" w:sz="4" w:space="0" w:color="auto"/>
            </w:tcBorders>
          </w:tcPr>
          <w:p w:rsidR="00905CFA" w:rsidRPr="00905CFA" w:rsidRDefault="00905CFA" w:rsidP="00905CFA">
            <w:pPr>
              <w:jc w:val="center"/>
              <w:rPr>
                <w:rFonts w:ascii="Times New Roman" w:hAnsi="Times New Roman" w:cs="Times New Roman"/>
                <w:sz w:val="20"/>
                <w:szCs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t>Logistică eveniment &amp; livrări</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Furnizarea suportului logistic complet pentru eveniment, inclusiv transportul, livrările și mișcarea operațională a materialelor și echipamentelor.</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Închiriere van pentru transportul materialelor, echipamentelor și consumabilelor evenimentului;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logistică a livrărilor, ridicărilor și distribuției la fața locului;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Costuri de transport ale personalului și cheltuieli de transport local necesare pentru desfășurarea operațiunilor evenimentului;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activităților de încărcare și descărcare în locațiile evenimentului.</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Gazdă eveniment / MC</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MC profesionist pentru evenimentul de networking de seară, responsabil pentru găzduire, întâmpinarea invitaților și asigurarea desfășurării fluente a programului.</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Trebuie să aibă experiență în evenimente corporative internaționale sau în industria vinului.</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va specifica profilul și experiența relevantă. Furnizorul va prezenta minimum 3 propuneri de candidați (3 opțiuni de gazdă) pentru selecția ONVV.</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t>DJ și echipamente tehnice</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xml:space="preserve">Prestarea unui set DJ pentru evenimentul de networking de seară, inclusiv furnizarea </w:t>
            </w:r>
            <w:r w:rsidRPr="00905CFA">
              <w:rPr>
                <w:rFonts w:ascii="Times New Roman" w:hAnsi="Times New Roman" w:cs="Times New Roman"/>
                <w:sz w:val="20"/>
                <w:szCs w:val="20"/>
                <w:lang w:val="ro-RO"/>
              </w:rPr>
              <w:lastRenderedPageBreak/>
              <w:t>tuturor echipamentelor de sunet și configurarea tehnică necesară.</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Performanță DJ de aproximativ 3 ore în cadrul evenimentului de seară;</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Sistem complet de sunet și echipamente tehnice (inclusiv boxe, consolă DJ și iluminat de bază, dacă este necesar pentru prestație);</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Instalarea, operarea și demontarea tuturor echipamentelor DJ și de sunet.</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Furnizarea de activări suplimentare de divertisment</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Furnizarea de activări suplimentare de divertisment pentru evenimentul de networking de seară.</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 un buget alocat pentru un concept de divertisment, precum muzicieni live, formații acustice sau alte tipuri de performanțe culturale sau experiențiale.</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t>Zonă foto branduită</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Furnizarea unei activări foto branduite pentru evenimentul de networking de seară.</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 montajul, instalarea și demontarea completă a tuturor elementelor activării foto.</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Depozitare și logistică vinuri</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Recepționarea, transportul, depozitarea și livrarea loturilor consolidate de vin pentru eveniment.</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include manipularea, asigurarea și depozitarea pe termen scurt în Londra, livrarea la locație înainte de montajul evenimentului, precum și suport pentru livrarea la fața locului.</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va specifica procesul de depozitare, asigurarea și fluxul operațional de livrare.</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t>Servicii de fotografie</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Fotograf profesionist pentru acoperirea integrală a evenimentului, atât pe parcursul activităților de zi, cât și al celor de seară. Include minimum 250 de fotografii editate profesional, precum și 15 fotografii reprezentative livrate în ziua evenimentului pentru utilizare imediată în comunicare și pe canalele de social media. Galeria finală de fotografii editate va fi livrată în termen de maximum 10 zile de la încheierea evenimentului.</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t>Servicii video</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eastAsia="Calibri" w:hAnsi="Times New Roman" w:cs="Times New Roman"/>
                <w:color w:val="000000"/>
                <w:sz w:val="20"/>
                <w:szCs w:val="20"/>
                <w:lang w:val="ro-RO"/>
              </w:rPr>
            </w:pPr>
            <w:r w:rsidRPr="00905CFA">
              <w:rPr>
                <w:rFonts w:ascii="Times New Roman" w:eastAsia="Calibri" w:hAnsi="Times New Roman" w:cs="Times New Roman"/>
                <w:color w:val="000000"/>
                <w:sz w:val="20"/>
                <w:szCs w:val="20"/>
                <w:lang w:val="ro-RO"/>
              </w:rPr>
              <w:t xml:space="preserve">Videograf profesionist pentru realizarea materialelor video destinate comunicării și promovării evenimentului, inclusiv 1 videoclip principal (hero video) adaptat pentru platformele Instagram și LinkedIn. Durata videoclipului: maximum 30 de secunde. Serviciul include realizarea unui videoclip recapitulativ de tip aftermovie, </w:t>
            </w:r>
            <w:r w:rsidRPr="00905CFA">
              <w:rPr>
                <w:rFonts w:ascii="Times New Roman" w:eastAsia="Calibri" w:hAnsi="Times New Roman" w:cs="Times New Roman"/>
                <w:color w:val="000000"/>
                <w:sz w:val="20"/>
                <w:szCs w:val="20"/>
                <w:lang w:val="ro-RO"/>
              </w:rPr>
              <w:lastRenderedPageBreak/>
              <w:t>editarea materialului video și maximum 2 runde de revizuiri/modificări.</w:t>
            </w:r>
          </w:p>
          <w:p w:rsidR="00905CFA" w:rsidRPr="00905CFA" w:rsidRDefault="00905CFA" w:rsidP="00905CFA">
            <w:pPr>
              <w:jc w:val="both"/>
              <w:rPr>
                <w:rFonts w:ascii="Times New Roman" w:eastAsia="Calibri" w:hAnsi="Times New Roman" w:cs="Times New Roman"/>
                <w:color w:val="000000"/>
                <w:sz w:val="20"/>
                <w:szCs w:val="20"/>
                <w:lang w:val="ro-RO"/>
              </w:rPr>
            </w:pPr>
            <w:r w:rsidRPr="00905CFA">
              <w:rPr>
                <w:rFonts w:ascii="Times New Roman" w:eastAsia="Calibri" w:hAnsi="Times New Roman" w:cs="Times New Roman"/>
                <w:color w:val="000000"/>
                <w:sz w:val="20"/>
                <w:szCs w:val="20"/>
                <w:lang w:val="ro-RO"/>
              </w:rPr>
              <w:t>Toate materialele foto și video vor fi livrate în format digital, cu drepturi de utilizare nelimitate pentru ONVV în scopuri de promovare și comunicare.</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Raport post-eveniment</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Elaborarea și transmiterea unui raport post-eveniment în format Word și PDF.</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Raportul va include:</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Numărul și profilul participanților;</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Lista companiilor și produselor participante;</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Estimarea consumului de vinuri și băuturi;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Rezumatul activităților și rezultatelor evenimentului;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Concluzii și recomandări cheie;</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10 fotografii relevante din cadrul evenimentului.</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Raportul va fi bazat pe înregistrările de participare, informațiile expozanților, contribuțiile echipei de eveniment, activitățile de comunicare și datele disponibile privind vânzările sau consumul.</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Termen de livrare: în termen de 10 zile lucrătoare de la încheierea evenimentului.</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C97B7E">
        <w:trPr>
          <w:gridAfter w:val="1"/>
          <w:wAfter w:w="343" w:type="dxa"/>
          <w:trHeight w:val="390"/>
        </w:trPr>
        <w:tc>
          <w:tcPr>
            <w:tcW w:w="14671" w:type="dxa"/>
            <w:gridSpan w:val="9"/>
            <w:tcBorders>
              <w:top w:val="single" w:sz="4" w:space="0" w:color="auto"/>
            </w:tcBorders>
            <w:vAlign w:val="center"/>
          </w:tcPr>
          <w:p w:rsidR="00905CFA" w:rsidRPr="00905CFA" w:rsidRDefault="00905CFA" w:rsidP="00905CFA">
            <w:pPr>
              <w:tabs>
                <w:tab w:val="left" w:pos="6120"/>
              </w:tabs>
              <w:spacing w:after="0" w:line="240" w:lineRule="auto"/>
              <w:rPr>
                <w:rFonts w:ascii="Times New Roman" w:eastAsia="Times New Roman" w:hAnsi="Times New Roman" w:cs="Times New Roman"/>
                <w:b/>
                <w:bCs/>
                <w:color w:val="FF0000"/>
                <w:sz w:val="20"/>
                <w:szCs w:val="20"/>
                <w:lang w:val="ro-RO"/>
              </w:rPr>
            </w:pPr>
            <w:r w:rsidRPr="00905CFA">
              <w:rPr>
                <w:rFonts w:ascii="Times New Roman" w:eastAsia="Times New Roman" w:hAnsi="Times New Roman" w:cs="Times New Roman"/>
                <w:b/>
                <w:bCs/>
                <w:color w:val="FF0000"/>
                <w:sz w:val="20"/>
                <w:szCs w:val="20"/>
                <w:lang w:val="ro-RO"/>
              </w:rPr>
              <w:lastRenderedPageBreak/>
              <w:t>Notă: În cazul unor omisiuni și/sau erori de redactare, cerințele minime prevăzute în Anunțul de participare vor prevala asupra celor indicate în prezenta specificație tehnică.</w:t>
            </w:r>
          </w:p>
          <w:p w:rsidR="00905CFA" w:rsidRPr="00905CFA" w:rsidRDefault="00905CFA" w:rsidP="00905CFA">
            <w:pPr>
              <w:tabs>
                <w:tab w:val="left" w:pos="6120"/>
              </w:tabs>
              <w:spacing w:after="0" w:line="240" w:lineRule="auto"/>
              <w:rPr>
                <w:rFonts w:ascii="Times New Roman" w:eastAsia="Times New Roman" w:hAnsi="Times New Roman" w:cs="Times New Roman"/>
                <w:b/>
                <w:bCs/>
                <w:color w:val="FF0000"/>
                <w:sz w:val="20"/>
                <w:szCs w:val="20"/>
                <w:lang w:val="ro-RO"/>
              </w:rPr>
            </w:pPr>
          </w:p>
          <w:p w:rsidR="00905CFA" w:rsidRPr="00905CFA" w:rsidRDefault="00905CFA" w:rsidP="00905CFA">
            <w:pPr>
              <w:spacing w:after="0" w:line="240" w:lineRule="auto"/>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Semnat:_______________ Numele, Prenumele:_____________________________ În calitate de: ________________</w:t>
            </w:r>
          </w:p>
          <w:p w:rsidR="00905CFA" w:rsidRPr="00905CFA" w:rsidRDefault="00905CFA" w:rsidP="00905CFA">
            <w:pPr>
              <w:spacing w:after="0" w:line="240" w:lineRule="auto"/>
              <w:rPr>
                <w:rFonts w:ascii="Times New Roman" w:eastAsia="Times New Roman" w:hAnsi="Times New Roman" w:cs="Times New Roman"/>
                <w:sz w:val="20"/>
                <w:szCs w:val="20"/>
                <w:lang w:val="ro-RO"/>
              </w:rPr>
            </w:pPr>
          </w:p>
          <w:p w:rsidR="00905CFA" w:rsidRPr="00905CFA" w:rsidRDefault="00905CFA" w:rsidP="00905CFA">
            <w:pPr>
              <w:spacing w:after="0" w:line="240" w:lineRule="auto"/>
              <w:rPr>
                <w:rFonts w:ascii="Times New Roman" w:eastAsia="Times New Roman" w:hAnsi="Times New Roman" w:cs="Times New Roman"/>
                <w:bCs/>
                <w:iCs/>
                <w:sz w:val="20"/>
                <w:szCs w:val="20"/>
                <w:lang w:val="ro-RO"/>
              </w:rPr>
            </w:pPr>
            <w:r w:rsidRPr="00905CFA">
              <w:rPr>
                <w:rFonts w:ascii="Times New Roman" w:eastAsia="Times New Roman" w:hAnsi="Times New Roman" w:cs="Times New Roman"/>
                <w:bCs/>
                <w:iCs/>
                <w:sz w:val="20"/>
                <w:szCs w:val="20"/>
                <w:lang w:val="ro-RO"/>
              </w:rPr>
              <w:t>Prestatorul: _______________________ Adresa: __________________________</w:t>
            </w:r>
          </w:p>
          <w:p w:rsidR="00905CFA" w:rsidRPr="00905CFA" w:rsidRDefault="00905CFA" w:rsidP="00905CFA">
            <w:pPr>
              <w:spacing w:after="0" w:line="240" w:lineRule="auto"/>
              <w:rPr>
                <w:rFonts w:ascii="Times New Roman" w:eastAsia="Times New Roman" w:hAnsi="Times New Roman" w:cs="Times New Roman"/>
                <w:bCs/>
                <w:iCs/>
                <w:sz w:val="20"/>
                <w:szCs w:val="20"/>
                <w:lang w:val="ro-RO"/>
              </w:rPr>
            </w:pPr>
          </w:p>
        </w:tc>
      </w:tr>
      <w:tr w:rsidR="00905CFA" w:rsidRPr="00905CFA" w:rsidTr="00C97B7E">
        <w:trPr>
          <w:trHeight w:val="390"/>
        </w:trPr>
        <w:tc>
          <w:tcPr>
            <w:tcW w:w="2835" w:type="dxa"/>
            <w:gridSpan w:val="2"/>
            <w:tcBorders>
              <w:top w:val="single" w:sz="4" w:space="0" w:color="auto"/>
            </w:tcBorders>
          </w:tcPr>
          <w:p w:rsidR="00905CFA" w:rsidRPr="00905CFA" w:rsidRDefault="00905CFA" w:rsidP="00905CFA">
            <w:pPr>
              <w:tabs>
                <w:tab w:val="left" w:pos="6120"/>
              </w:tabs>
              <w:spacing w:after="0" w:line="240" w:lineRule="auto"/>
              <w:rPr>
                <w:rFonts w:ascii="Times New Roman" w:eastAsia="Times New Roman" w:hAnsi="Times New Roman" w:cs="Times New Roman"/>
                <w:sz w:val="20"/>
                <w:szCs w:val="20"/>
                <w:lang w:val="ro-RO"/>
              </w:rPr>
            </w:pPr>
          </w:p>
        </w:tc>
        <w:tc>
          <w:tcPr>
            <w:tcW w:w="236" w:type="dxa"/>
            <w:tcBorders>
              <w:top w:val="single" w:sz="4" w:space="0" w:color="auto"/>
            </w:tcBorders>
          </w:tcPr>
          <w:p w:rsidR="00905CFA" w:rsidRPr="00905CFA" w:rsidRDefault="00905CFA" w:rsidP="00905CFA">
            <w:pPr>
              <w:tabs>
                <w:tab w:val="left" w:pos="6120"/>
              </w:tabs>
              <w:spacing w:after="0" w:line="240" w:lineRule="auto"/>
              <w:rPr>
                <w:rFonts w:ascii="Times New Roman" w:eastAsia="Times New Roman" w:hAnsi="Times New Roman" w:cs="Times New Roman"/>
                <w:sz w:val="20"/>
                <w:szCs w:val="20"/>
                <w:lang w:val="ro-RO"/>
              </w:rPr>
            </w:pPr>
          </w:p>
        </w:tc>
        <w:tc>
          <w:tcPr>
            <w:tcW w:w="11943" w:type="dxa"/>
            <w:gridSpan w:val="7"/>
            <w:tcBorders>
              <w:top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bCs/>
                <w:iCs/>
                <w:sz w:val="20"/>
                <w:szCs w:val="20"/>
                <w:lang w:val="ro-RO"/>
              </w:rPr>
            </w:pPr>
          </w:p>
        </w:tc>
      </w:tr>
    </w:tbl>
    <w:p w:rsidR="00215758" w:rsidRPr="00905CFA" w:rsidRDefault="00215758">
      <w:pPr>
        <w:rPr>
          <w:rFonts w:ascii="Times New Roman" w:hAnsi="Times New Roman" w:cs="Times New Roman"/>
          <w:sz w:val="20"/>
          <w:szCs w:val="20"/>
          <w:lang w:val="ro-RO"/>
        </w:rPr>
      </w:pPr>
    </w:p>
    <w:sectPr w:rsidR="00215758" w:rsidRPr="00905CFA">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2381" w:rsidRDefault="00BB2381">
      <w:pPr>
        <w:spacing w:line="240" w:lineRule="auto"/>
      </w:pPr>
      <w:r>
        <w:separator/>
      </w:r>
    </w:p>
  </w:endnote>
  <w:endnote w:type="continuationSeparator" w:id="0">
    <w:p w:rsidR="00BB2381" w:rsidRDefault="00BB23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EUAlbertina">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2381" w:rsidRDefault="00BB2381">
      <w:pPr>
        <w:spacing w:after="0"/>
      </w:pPr>
      <w:r>
        <w:separator/>
      </w:r>
    </w:p>
  </w:footnote>
  <w:footnote w:type="continuationSeparator" w:id="0">
    <w:p w:rsidR="00BB2381" w:rsidRDefault="00BB2381">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0F1ACD9"/>
    <w:multiLevelType w:val="multilevel"/>
    <w:tmpl w:val="B0F1AC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657794"/>
    <w:multiLevelType w:val="multilevel"/>
    <w:tmpl w:val="93409588"/>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7D4152"/>
    <w:multiLevelType w:val="multilevel"/>
    <w:tmpl w:val="65C4656E"/>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5EC3B23"/>
    <w:multiLevelType w:val="multilevel"/>
    <w:tmpl w:val="C45EF44C"/>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6A08BB8"/>
    <w:multiLevelType w:val="multilevel"/>
    <w:tmpl w:val="46A08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ECF128A"/>
    <w:multiLevelType w:val="multilevel"/>
    <w:tmpl w:val="F56CFA1C"/>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3755A48"/>
    <w:multiLevelType w:val="multilevel"/>
    <w:tmpl w:val="C9E8523C"/>
    <w:lvl w:ilvl="0">
      <w:start w:val="1"/>
      <w:numFmt w:val="bullet"/>
      <w:lvlText w:val="●"/>
      <w:lvlJc w:val="left"/>
      <w:pPr>
        <w:ind w:left="720" w:hanging="360"/>
      </w:pPr>
      <w:rPr>
        <w:sz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C246926"/>
    <w:multiLevelType w:val="multilevel"/>
    <w:tmpl w:val="7C246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0"/>
  </w:num>
  <w:num w:numId="3">
    <w:abstractNumId w:val="7"/>
  </w:num>
  <w:num w:numId="4">
    <w:abstractNumId w:val="5"/>
  </w:num>
  <w:num w:numId="5">
    <w:abstractNumId w:val="2"/>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79F"/>
    <w:rsid w:val="000377C2"/>
    <w:rsid w:val="00042B5F"/>
    <w:rsid w:val="0005110A"/>
    <w:rsid w:val="00054783"/>
    <w:rsid w:val="000637C1"/>
    <w:rsid w:val="00081FF9"/>
    <w:rsid w:val="0009001E"/>
    <w:rsid w:val="00092201"/>
    <w:rsid w:val="000A24ED"/>
    <w:rsid w:val="000E2701"/>
    <w:rsid w:val="00117CA2"/>
    <w:rsid w:val="001316B1"/>
    <w:rsid w:val="001445F5"/>
    <w:rsid w:val="00184E43"/>
    <w:rsid w:val="001A54B8"/>
    <w:rsid w:val="001A6933"/>
    <w:rsid w:val="001A74F6"/>
    <w:rsid w:val="001C5646"/>
    <w:rsid w:val="001F3B64"/>
    <w:rsid w:val="002069E9"/>
    <w:rsid w:val="00215758"/>
    <w:rsid w:val="00224D1D"/>
    <w:rsid w:val="002265C2"/>
    <w:rsid w:val="00245C9C"/>
    <w:rsid w:val="0026179F"/>
    <w:rsid w:val="00273D2B"/>
    <w:rsid w:val="00287CA7"/>
    <w:rsid w:val="002B0D1B"/>
    <w:rsid w:val="002B3259"/>
    <w:rsid w:val="002C0BE1"/>
    <w:rsid w:val="002C1288"/>
    <w:rsid w:val="002E1933"/>
    <w:rsid w:val="00310F40"/>
    <w:rsid w:val="003301D0"/>
    <w:rsid w:val="003463A1"/>
    <w:rsid w:val="0036444A"/>
    <w:rsid w:val="003A049B"/>
    <w:rsid w:val="003A528A"/>
    <w:rsid w:val="003D11AA"/>
    <w:rsid w:val="003F618A"/>
    <w:rsid w:val="00455B09"/>
    <w:rsid w:val="004B3197"/>
    <w:rsid w:val="004C0B45"/>
    <w:rsid w:val="004C309D"/>
    <w:rsid w:val="004F099F"/>
    <w:rsid w:val="004F6D46"/>
    <w:rsid w:val="00556428"/>
    <w:rsid w:val="005613AC"/>
    <w:rsid w:val="005F4378"/>
    <w:rsid w:val="00610D93"/>
    <w:rsid w:val="00675C48"/>
    <w:rsid w:val="006B1186"/>
    <w:rsid w:val="006B6C99"/>
    <w:rsid w:val="00756EF3"/>
    <w:rsid w:val="007629FE"/>
    <w:rsid w:val="00784AC1"/>
    <w:rsid w:val="00817242"/>
    <w:rsid w:val="00895ECE"/>
    <w:rsid w:val="008E60E6"/>
    <w:rsid w:val="008F7CD8"/>
    <w:rsid w:val="00905CFA"/>
    <w:rsid w:val="00921DB0"/>
    <w:rsid w:val="00935E6A"/>
    <w:rsid w:val="00941AE9"/>
    <w:rsid w:val="0099720D"/>
    <w:rsid w:val="009D08BE"/>
    <w:rsid w:val="00A85D92"/>
    <w:rsid w:val="00A91C38"/>
    <w:rsid w:val="00AA1768"/>
    <w:rsid w:val="00AA3133"/>
    <w:rsid w:val="00AB1254"/>
    <w:rsid w:val="00AF5A93"/>
    <w:rsid w:val="00B04D45"/>
    <w:rsid w:val="00B210C4"/>
    <w:rsid w:val="00B22632"/>
    <w:rsid w:val="00B6184E"/>
    <w:rsid w:val="00B873EC"/>
    <w:rsid w:val="00BB2381"/>
    <w:rsid w:val="00C0225D"/>
    <w:rsid w:val="00C22F49"/>
    <w:rsid w:val="00C71ED7"/>
    <w:rsid w:val="00C744E3"/>
    <w:rsid w:val="00C97B7E"/>
    <w:rsid w:val="00CB1E5D"/>
    <w:rsid w:val="00CC53CB"/>
    <w:rsid w:val="00CD4F5B"/>
    <w:rsid w:val="00D124C2"/>
    <w:rsid w:val="00D667D6"/>
    <w:rsid w:val="00D74849"/>
    <w:rsid w:val="00D938BA"/>
    <w:rsid w:val="00D9420A"/>
    <w:rsid w:val="00DB19EA"/>
    <w:rsid w:val="00DD1A7F"/>
    <w:rsid w:val="00E5162A"/>
    <w:rsid w:val="00E52239"/>
    <w:rsid w:val="00E60C25"/>
    <w:rsid w:val="00E73CCC"/>
    <w:rsid w:val="00EC2DDD"/>
    <w:rsid w:val="00ED6BF7"/>
    <w:rsid w:val="00EF4D8A"/>
    <w:rsid w:val="00F26306"/>
    <w:rsid w:val="00F97E92"/>
    <w:rsid w:val="00FA6571"/>
    <w:rsid w:val="00FB14FF"/>
    <w:rsid w:val="00FF7D70"/>
    <w:rsid w:val="635376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0D4EF"/>
  <w15:docId w15:val="{C4A16EA6-0553-4304-91F4-21A4E1082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line="240" w:lineRule="auto"/>
    </w:pPr>
    <w:rPr>
      <w:rFonts w:ascii="Times New Roman" w:eastAsia="Times New Roman" w:hAnsi="Times New Roman" w:cs="Times New Roman"/>
      <w:sz w:val="20"/>
      <w:szCs w:val="20"/>
      <w:lang w:val="ru-RU" w:eastAsia="ru-RU"/>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3">
    <w:name w:val="A3"/>
    <w:uiPriority w:val="99"/>
    <w:rPr>
      <w:color w:val="000000"/>
      <w:sz w:val="18"/>
      <w:szCs w:val="18"/>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pPr>
      <w:spacing w:line="221" w:lineRule="atLeast"/>
    </w:pPr>
    <w:rPr>
      <w:rFonts w:ascii="Times New Roman" w:eastAsia="Times New Roman" w:hAnsi="Times New Roman" w:cs="Times New Roman"/>
      <w:color w:val="auto"/>
      <w:lang w:eastAsia="en-US"/>
    </w:rPr>
  </w:style>
  <w:style w:type="paragraph" w:customStyle="1" w:styleId="21">
    <w:name w:val="Заголовок 21"/>
    <w:basedOn w:val="Normal"/>
    <w:uiPriority w:val="1"/>
    <w:qFormat/>
    <w:pPr>
      <w:widowControl w:val="0"/>
      <w:autoSpaceDE w:val="0"/>
      <w:autoSpaceDN w:val="0"/>
      <w:spacing w:after="0" w:line="240" w:lineRule="auto"/>
      <w:ind w:left="161"/>
      <w:outlineLvl w:val="2"/>
    </w:pPr>
    <w:rPr>
      <w:rFonts w:ascii="Arial" w:eastAsia="Arial" w:hAnsi="Arial" w:cs="Arial"/>
      <w:b/>
      <w:bCs/>
      <w:sz w:val="17"/>
      <w:szCs w:val="17"/>
    </w:rPr>
  </w:style>
  <w:style w:type="character" w:customStyle="1" w:styleId="BodyTextChar">
    <w:name w:val="Body Text Char"/>
    <w:basedOn w:val="DefaultParagraphFont"/>
    <w:link w:val="BodyText"/>
    <w:uiPriority w:val="99"/>
    <w:rPr>
      <w:rFonts w:ascii="Times New Roman" w:eastAsia="Times New Roman" w:hAnsi="Times New Roman" w:cs="Times New Roman"/>
      <w:sz w:val="20"/>
      <w:szCs w:val="20"/>
      <w:lang w:val="ru-RU" w:eastAsia="ru-RU"/>
    </w:rPr>
  </w:style>
  <w:style w:type="table" w:customStyle="1" w:styleId="Grigliatabella2">
    <w:name w:val="Griglia tabella2"/>
    <w:basedOn w:val="TableNormal"/>
    <w:uiPriority w:val="39"/>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49">
    <w:name w:val="_Style 49"/>
    <w:basedOn w:val="TableNormal0"/>
    <w:qFormat/>
    <w:tblPr>
      <w:tblCellMar>
        <w:left w:w="115" w:type="dxa"/>
        <w:right w:w="115" w:type="dxa"/>
      </w:tblCellMar>
    </w:tblPr>
  </w:style>
  <w:style w:type="table" w:customStyle="1" w:styleId="TableNormal0">
    <w:name w:val="TableNormal"/>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4696F-A215-44F1-A65A-39C86CBE7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21</Pages>
  <Words>3142</Words>
  <Characters>17913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CCEBOTARI</dc:creator>
  <cp:lastModifiedBy>CCEBOTARI</cp:lastModifiedBy>
  <cp:revision>49</cp:revision>
  <dcterms:created xsi:type="dcterms:W3CDTF">2023-02-16T14:35:00Z</dcterms:created>
  <dcterms:modified xsi:type="dcterms:W3CDTF">2026-06-17T12:57:00Z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51A0C1892909475D9D56BD137B5EB6A0_12</vt:lpwstr>
  </property>
</Properties>
</file>