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AB13DB" w14:textId="77777777" w:rsidR="00E6518B" w:rsidRPr="004604E2" w:rsidRDefault="00473C7B">
      <w:pPr>
        <w:spacing w:after="182" w:line="249" w:lineRule="auto"/>
        <w:ind w:left="10" w:right="6"/>
        <w:jc w:val="center"/>
        <w:rPr>
          <w:lang w:val="en-US"/>
        </w:rPr>
      </w:pPr>
      <w:r w:rsidRPr="004604E2">
        <w:rPr>
          <w:b/>
          <w:sz w:val="28"/>
          <w:lang w:val="en-US"/>
        </w:rPr>
        <w:t>SUPPLY CONTRACT NOTICE</w:t>
      </w:r>
    </w:p>
    <w:p w14:paraId="41BC5FE0" w14:textId="77777777" w:rsidR="00890FFA" w:rsidRDefault="00473C7B">
      <w:pPr>
        <w:spacing w:after="138" w:line="249" w:lineRule="auto"/>
        <w:ind w:left="2935" w:right="2930"/>
        <w:jc w:val="center"/>
        <w:rPr>
          <w:b/>
          <w:sz w:val="28"/>
          <w:lang w:val="en-US"/>
        </w:rPr>
      </w:pPr>
      <w:r w:rsidRPr="004604E2">
        <w:rPr>
          <w:sz w:val="24"/>
          <w:lang w:val="en-US"/>
        </w:rPr>
        <w:t xml:space="preserve"> </w:t>
      </w:r>
      <w:r w:rsidRPr="004604E2">
        <w:rPr>
          <w:b/>
          <w:sz w:val="28"/>
          <w:lang w:val="en-US"/>
        </w:rPr>
        <w:t>Car Supply</w:t>
      </w:r>
    </w:p>
    <w:p w14:paraId="14258E81" w14:textId="6ACF66DD" w:rsidR="00E6518B" w:rsidRDefault="00473C7B">
      <w:pPr>
        <w:spacing w:after="138" w:line="249" w:lineRule="auto"/>
        <w:ind w:left="2935" w:right="2930"/>
        <w:jc w:val="center"/>
      </w:pPr>
      <w:r w:rsidRPr="004604E2">
        <w:rPr>
          <w:sz w:val="28"/>
          <w:lang w:val="en-US"/>
        </w:rPr>
        <w:t xml:space="preserve">municipality </w:t>
      </w:r>
      <w:r>
        <w:rPr>
          <w:sz w:val="28"/>
        </w:rPr>
        <w:t xml:space="preserve"> </w:t>
      </w:r>
      <w:proofErr w:type="spellStart"/>
      <w:r w:rsidR="00310E1F">
        <w:rPr>
          <w:sz w:val="28"/>
        </w:rPr>
        <w:t>Bălți</w:t>
      </w:r>
      <w:proofErr w:type="spellEnd"/>
      <w:r w:rsidR="00310E1F">
        <w:rPr>
          <w:sz w:val="28"/>
        </w:rPr>
        <w:t xml:space="preserve"> </w:t>
      </w:r>
      <w:bookmarkStart w:id="0" w:name="_GoBack"/>
      <w:bookmarkEnd w:id="0"/>
      <w:r>
        <w:rPr>
          <w:sz w:val="28"/>
        </w:rPr>
        <w:t>Republic of Moldova</w:t>
      </w:r>
    </w:p>
    <w:p w14:paraId="7FD8AB73" w14:textId="78F59204" w:rsidR="00E6518B" w:rsidRPr="004604E2" w:rsidRDefault="00473C7B">
      <w:pPr>
        <w:numPr>
          <w:ilvl w:val="0"/>
          <w:numId w:val="1"/>
        </w:numPr>
        <w:spacing w:after="189" w:line="249" w:lineRule="auto"/>
        <w:ind w:hanging="351"/>
        <w:jc w:val="left"/>
        <w:rPr>
          <w:lang w:val="en-US"/>
        </w:rPr>
      </w:pPr>
      <w:r w:rsidRPr="004604E2">
        <w:rPr>
          <w:b/>
          <w:lang w:val="en-US"/>
        </w:rPr>
        <w:t>Reference No.: ROMD00074 FLOOD RESCUE</w:t>
      </w:r>
    </w:p>
    <w:p w14:paraId="36364AA5" w14:textId="77777777" w:rsidR="00E6518B" w:rsidRDefault="00473C7B">
      <w:pPr>
        <w:numPr>
          <w:ilvl w:val="0"/>
          <w:numId w:val="1"/>
        </w:numPr>
        <w:spacing w:after="189" w:line="249" w:lineRule="auto"/>
        <w:ind w:hanging="351"/>
        <w:jc w:val="left"/>
      </w:pPr>
      <w:r>
        <w:rPr>
          <w:b/>
        </w:rPr>
        <w:t xml:space="preserve">Procedure: </w:t>
      </w:r>
      <w:r>
        <w:t>Open local procedure</w:t>
      </w:r>
    </w:p>
    <w:p w14:paraId="5BDA7D1F" w14:textId="77777777" w:rsidR="00E6518B" w:rsidRPr="004604E2" w:rsidRDefault="00473C7B">
      <w:pPr>
        <w:numPr>
          <w:ilvl w:val="0"/>
          <w:numId w:val="1"/>
        </w:numPr>
        <w:spacing w:after="188" w:line="249" w:lineRule="auto"/>
        <w:ind w:hanging="351"/>
        <w:jc w:val="left"/>
        <w:rPr>
          <w:lang w:val="en-US"/>
        </w:rPr>
      </w:pPr>
      <w:r w:rsidRPr="004604E2">
        <w:rPr>
          <w:b/>
          <w:lang w:val="en-US"/>
        </w:rPr>
        <w:t>Program title: INTERREG VI-A NEXT PROGRAMME ROMANIA-REPUBLIC OF MOLDOVA</w:t>
      </w:r>
    </w:p>
    <w:p w14:paraId="67FEFEA7" w14:textId="77777777" w:rsidR="00E6518B" w:rsidRPr="004604E2" w:rsidRDefault="00473C7B">
      <w:pPr>
        <w:pStyle w:val="1"/>
        <w:spacing w:after="175" w:line="263" w:lineRule="auto"/>
        <w:ind w:left="355" w:right="0"/>
        <w:jc w:val="left"/>
        <w:rPr>
          <w:lang w:val="en-US"/>
        </w:rPr>
      </w:pPr>
      <w:r w:rsidRPr="004604E2">
        <w:rPr>
          <w:sz w:val="22"/>
          <w:lang w:val="en-US"/>
        </w:rPr>
        <w:t>4. Financing</w:t>
      </w:r>
      <w:r w:rsidRPr="004604E2">
        <w:rPr>
          <w:b w:val="0"/>
          <w:sz w:val="22"/>
          <w:lang w:val="en-US"/>
        </w:rPr>
        <w:t xml:space="preserve"> </w:t>
      </w:r>
    </w:p>
    <w:p w14:paraId="3C7C3831" w14:textId="6A1980D3" w:rsidR="00E6518B" w:rsidRDefault="00890FFA">
      <w:pPr>
        <w:spacing w:after="189" w:line="249" w:lineRule="auto"/>
        <w:ind w:left="355"/>
        <w:jc w:val="left"/>
        <w:rPr>
          <w:lang w:val="en-US"/>
        </w:rPr>
      </w:pPr>
      <w:r w:rsidRPr="00890FFA">
        <w:rPr>
          <w:lang w:val="en-US"/>
        </w:rPr>
        <w:t>Grant contract no. 132960 /14.07.2025 ROMD00074 FLOOD RESCUE</w:t>
      </w:r>
    </w:p>
    <w:p w14:paraId="75768F13" w14:textId="377DFB92" w:rsidR="00890FFA" w:rsidRPr="004604E2" w:rsidRDefault="00890FFA">
      <w:pPr>
        <w:spacing w:after="189" w:line="249" w:lineRule="auto"/>
        <w:ind w:left="355"/>
        <w:jc w:val="left"/>
        <w:rPr>
          <w:lang w:val="en-US"/>
        </w:rPr>
      </w:pPr>
      <w:r w:rsidRPr="00890FFA">
        <w:rPr>
          <w:lang w:val="en-US"/>
        </w:rPr>
        <w:t xml:space="preserve">"Joint preparation for saving lives in case of flooding - FLOOD RESCUE" within the </w:t>
      </w:r>
      <w:proofErr w:type="spellStart"/>
      <w:r w:rsidRPr="00890FFA">
        <w:rPr>
          <w:lang w:val="en-US"/>
        </w:rPr>
        <w:t>Interreg</w:t>
      </w:r>
      <w:proofErr w:type="spellEnd"/>
      <w:r w:rsidRPr="00890FFA">
        <w:rPr>
          <w:lang w:val="en-US"/>
        </w:rPr>
        <w:t xml:space="preserve"> VI-A Next Romania-Republic of Moldova Program, co-financed by the European Union</w:t>
      </w:r>
    </w:p>
    <w:p w14:paraId="69A46123" w14:textId="16C5139E" w:rsidR="00E6518B" w:rsidRPr="004604E2" w:rsidRDefault="00473C7B">
      <w:pPr>
        <w:spacing w:after="178" w:line="259" w:lineRule="auto"/>
        <w:ind w:left="355"/>
        <w:jc w:val="left"/>
        <w:rPr>
          <w:lang w:val="en-US"/>
        </w:rPr>
      </w:pPr>
      <w:r w:rsidRPr="004604E2">
        <w:rPr>
          <w:u w:val="single" w:color="000000"/>
          <w:lang w:val="en-US"/>
        </w:rPr>
        <w:t xml:space="preserve">Maximum budget available for the purchase of cars </w:t>
      </w:r>
      <w:r w:rsidRPr="004604E2">
        <w:rPr>
          <w:lang w:val="en-US"/>
        </w:rPr>
        <w:t xml:space="preserve">: </w:t>
      </w:r>
      <w:r w:rsidR="00890FFA" w:rsidRPr="00890FFA">
        <w:rPr>
          <w:b/>
          <w:bCs/>
          <w:lang w:val="en-US"/>
        </w:rPr>
        <w:t xml:space="preserve">72,000.00 EURO </w:t>
      </w:r>
      <w:r w:rsidRPr="004604E2">
        <w:rPr>
          <w:b/>
          <w:lang w:val="en-US"/>
        </w:rPr>
        <w:t>(0% VAT).</w:t>
      </w:r>
    </w:p>
    <w:p w14:paraId="622F7BFE" w14:textId="77777777" w:rsidR="00E6518B" w:rsidRPr="004604E2" w:rsidRDefault="00473C7B">
      <w:pPr>
        <w:pStyle w:val="1"/>
        <w:spacing w:after="175" w:line="263" w:lineRule="auto"/>
        <w:ind w:left="355" w:right="0"/>
        <w:jc w:val="left"/>
        <w:rPr>
          <w:lang w:val="en-US"/>
        </w:rPr>
      </w:pPr>
      <w:r w:rsidRPr="004604E2">
        <w:rPr>
          <w:sz w:val="22"/>
          <w:lang w:val="en-US"/>
        </w:rPr>
        <w:t>5. Contracting authority</w:t>
      </w:r>
      <w:r w:rsidRPr="004604E2">
        <w:rPr>
          <w:b w:val="0"/>
          <w:sz w:val="22"/>
          <w:lang w:val="en-US"/>
        </w:rPr>
        <w:t xml:space="preserve"> </w:t>
      </w:r>
    </w:p>
    <w:p w14:paraId="52B497EA" w14:textId="5774BA91" w:rsidR="00E6518B" w:rsidRPr="000A7467" w:rsidRDefault="00473C7B">
      <w:pPr>
        <w:spacing w:after="185"/>
        <w:ind w:left="355"/>
        <w:rPr>
          <w:lang w:val="en-US"/>
        </w:rPr>
      </w:pPr>
      <w:r w:rsidRPr="004604E2">
        <w:rPr>
          <w:lang w:val="en-US"/>
        </w:rPr>
        <w:t>Regional Search and Rescue Directorate No. 2, Balti municipality,</w:t>
      </w:r>
    </w:p>
    <w:p w14:paraId="7534C146" w14:textId="77777777" w:rsidR="00E6518B" w:rsidRDefault="00473C7B">
      <w:pPr>
        <w:spacing w:after="233" w:line="259" w:lineRule="auto"/>
        <w:ind w:left="0" w:firstLine="0"/>
        <w:jc w:val="left"/>
      </w:pPr>
      <w:r w:rsidRPr="000A7467">
        <w:rPr>
          <w:lang w:val="en-US"/>
        </w:rPr>
        <w:t xml:space="preserve"> </w:t>
      </w:r>
      <w:r>
        <w:rPr>
          <w:rFonts w:ascii="Calibri" w:eastAsia="Calibri" w:hAnsi="Calibri" w:cs="Calibri"/>
          <w:noProof/>
          <w:lang w:val="en-US" w:eastAsia="en-US"/>
        </w:rPr>
        <mc:AlternateContent>
          <mc:Choice Requires="wpg">
            <w:drawing>
              <wp:inline distT="0" distB="0" distL="0" distR="0" wp14:anchorId="5C29987F" wp14:editId="42CC2524">
                <wp:extent cx="5943601" cy="24384"/>
                <wp:effectExtent l="0" t="0" r="0" b="0"/>
                <wp:docPr id="5027" name="Group 5027"/>
                <wp:cNvGraphicFramePr/>
                <a:graphic xmlns:a="http://schemas.openxmlformats.org/drawingml/2006/main">
                  <a:graphicData uri="http://schemas.microsoft.com/office/word/2010/wordprocessingGroup">
                    <wpg:wgp>
                      <wpg:cNvGrpSpPr/>
                      <wpg:grpSpPr>
                        <a:xfrm>
                          <a:off x="0" y="0"/>
                          <a:ext cx="5943601" cy="24384"/>
                          <a:chOff x="0" y="0"/>
                          <a:chExt cx="5943601" cy="24384"/>
                        </a:xfrm>
                      </wpg:grpSpPr>
                      <wps:wsp>
                        <wps:cNvPr id="215" name="Shape 215"/>
                        <wps:cNvSpPr/>
                        <wps:spPr>
                          <a:xfrm>
                            <a:off x="0" y="0"/>
                            <a:ext cx="5943601" cy="22860"/>
                          </a:xfrm>
                          <a:custGeom>
                            <a:avLst/>
                            <a:gdLst/>
                            <a:ahLst/>
                            <a:cxnLst/>
                            <a:rect l="0" t="0" r="0" b="0"/>
                            <a:pathLst>
                              <a:path w="5943601" h="22860">
                                <a:moveTo>
                                  <a:pt x="0" y="0"/>
                                </a:moveTo>
                                <a:lnTo>
                                  <a:pt x="5943601" y="635"/>
                                </a:lnTo>
                                <a:lnTo>
                                  <a:pt x="5943601" y="22860"/>
                                </a:lnTo>
                                <a:lnTo>
                                  <a:pt x="0" y="22225"/>
                                </a:lnTo>
                                <a:lnTo>
                                  <a:pt x="0" y="0"/>
                                </a:lnTo>
                                <a:close/>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216" name="Shape 216"/>
                        <wps:cNvSpPr/>
                        <wps:spPr>
                          <a:xfrm>
                            <a:off x="0" y="23749"/>
                            <a:ext cx="5943601" cy="635"/>
                          </a:xfrm>
                          <a:custGeom>
                            <a:avLst/>
                            <a:gdLst/>
                            <a:ahLst/>
                            <a:cxnLst/>
                            <a:rect l="0" t="0" r="0" b="0"/>
                            <a:pathLst>
                              <a:path w="5943601" h="635">
                                <a:moveTo>
                                  <a:pt x="0" y="0"/>
                                </a:moveTo>
                                <a:lnTo>
                                  <a:pt x="5943601" y="635"/>
                                </a:lnTo>
                              </a:path>
                            </a:pathLst>
                          </a:custGeom>
                          <a:ln w="22225" cap="flat">
                            <a:round/>
                          </a:ln>
                        </wps:spPr>
                        <wps:style>
                          <a:lnRef idx="1">
                            <a:srgbClr val="D4D4D4"/>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w:pict>
              <v:group id="Group 5027" style="width:468pt;height:1.91998pt;mso-position-horizontal-relative:char;mso-position-vertical-relative:line" coordsize="59436,243">
                <v:shape id="Shape 215" style="position:absolute;width:59436;height:228;left:0;top:0;" coordsize="5943601,22860" path="m0,0l5943601,635l5943601,22860l0,22225l0,0x">
                  <v:stroke weight="0pt" endcap="flat" joinstyle="miter" miterlimit="10" on="false" color="#000000" opacity="0"/>
                  <v:fill on="true" color="#808080"/>
                </v:shape>
                <v:shape id="Shape 216" style="position:absolute;width:59436;height:6;left:0;top:237;" coordsize="5943601,635" path="m0,0l5943601,635">
                  <v:stroke weight="1.75pt" endcap="flat" joinstyle="round" on="true" color="#d4d4d4"/>
                  <v:fill on="false" color="#000000" opacity="0"/>
                </v:shape>
              </v:group>
            </w:pict>
          </mc:Fallback>
        </mc:AlternateContent>
      </w:r>
    </w:p>
    <w:p w14:paraId="03E78F66" w14:textId="77777777" w:rsidR="00E6518B" w:rsidRPr="004604E2" w:rsidRDefault="00473C7B">
      <w:pPr>
        <w:pStyle w:val="1"/>
        <w:spacing w:after="154"/>
        <w:rPr>
          <w:lang w:val="en-US"/>
        </w:rPr>
      </w:pPr>
      <w:r w:rsidRPr="004604E2">
        <w:rPr>
          <w:lang w:val="en-US"/>
        </w:rPr>
        <w:t>CONTRACTUAL SPECIFICATIONS</w:t>
      </w:r>
      <w:r w:rsidRPr="004604E2">
        <w:rPr>
          <w:b w:val="0"/>
          <w:lang w:val="en-US"/>
        </w:rPr>
        <w:t xml:space="preserve"> </w:t>
      </w:r>
    </w:p>
    <w:p w14:paraId="6574DDFF" w14:textId="77777777" w:rsidR="00E6518B" w:rsidRPr="004604E2" w:rsidRDefault="00473C7B">
      <w:pPr>
        <w:spacing w:after="188" w:line="249" w:lineRule="auto"/>
        <w:ind w:left="355"/>
        <w:jc w:val="left"/>
        <w:rPr>
          <w:lang w:val="en-US"/>
        </w:rPr>
      </w:pPr>
      <w:r w:rsidRPr="004604E2">
        <w:rPr>
          <w:b/>
          <w:lang w:val="en-US"/>
        </w:rPr>
        <w:t xml:space="preserve">6. Nature of the contract: </w:t>
      </w:r>
      <w:r w:rsidRPr="004604E2">
        <w:rPr>
          <w:sz w:val="24"/>
          <w:lang w:val="en-US"/>
        </w:rPr>
        <w:t>total price</w:t>
      </w:r>
      <w:r w:rsidRPr="004604E2">
        <w:rPr>
          <w:lang w:val="en-US"/>
        </w:rPr>
        <w:t xml:space="preserve"> </w:t>
      </w:r>
    </w:p>
    <w:p w14:paraId="4F756457" w14:textId="77777777" w:rsidR="00E6518B" w:rsidRPr="004604E2" w:rsidRDefault="00473C7B">
      <w:pPr>
        <w:pStyle w:val="2"/>
        <w:ind w:left="355"/>
        <w:rPr>
          <w:lang w:val="en-US"/>
        </w:rPr>
      </w:pPr>
      <w:r w:rsidRPr="004604E2">
        <w:rPr>
          <w:lang w:val="en-US"/>
        </w:rPr>
        <w:t>7. Contract description</w:t>
      </w:r>
      <w:r w:rsidRPr="004604E2">
        <w:rPr>
          <w:b w:val="0"/>
          <w:lang w:val="en-US"/>
        </w:rPr>
        <w:t xml:space="preserve"> </w:t>
      </w:r>
    </w:p>
    <w:p w14:paraId="668CA4DF" w14:textId="77777777" w:rsidR="00B76C5C" w:rsidRDefault="00473C7B">
      <w:pPr>
        <w:spacing w:after="192"/>
        <w:ind w:left="696" w:hanging="351"/>
        <w:rPr>
          <w:lang w:val="en-US"/>
        </w:rPr>
      </w:pPr>
      <w:r w:rsidRPr="004604E2">
        <w:rPr>
          <w:lang w:val="en-US"/>
        </w:rPr>
        <w:t xml:space="preserve">The contracting authority - Regional Search and Rescue Directorate No. 2, Balti municipality, will award a contract for the purchase/delivery of one 8+1- </w:t>
      </w:r>
      <w:r w:rsidR="00CA72F3">
        <w:rPr>
          <w:lang w:val="en-US"/>
        </w:rPr>
        <w:t xml:space="preserve">seater vehicle </w:t>
      </w:r>
      <w:proofErr w:type="gramStart"/>
      <w:r w:rsidR="00CA72F3">
        <w:rPr>
          <w:lang w:val="en-US"/>
        </w:rPr>
        <w:t xml:space="preserve">( </w:t>
      </w:r>
      <w:r w:rsidRPr="004604E2">
        <w:rPr>
          <w:lang w:val="en-US"/>
        </w:rPr>
        <w:t>delivery</w:t>
      </w:r>
      <w:proofErr w:type="gramEnd"/>
      <w:r w:rsidRPr="004604E2">
        <w:rPr>
          <w:lang w:val="en-US"/>
        </w:rPr>
        <w:t>, technical reception and post-warranty service). The contract covers the technical specifications of the vehicle: seating capacity, emission standards, safety equipment, optional equipment and warranty conditions, with a delivery deadline of 90 days from the registration of the contract with the treasury. Award criteria: competitive financial offer and technical compliance.</w:t>
      </w:r>
    </w:p>
    <w:p w14:paraId="65973C3D" w14:textId="66623A0E" w:rsidR="00E6518B" w:rsidRDefault="00B76C5C">
      <w:pPr>
        <w:spacing w:after="192"/>
        <w:ind w:left="696" w:hanging="351"/>
        <w:rPr>
          <w:b/>
          <w:bCs/>
          <w:lang w:val="en-US"/>
        </w:rPr>
      </w:pPr>
      <w:r>
        <w:rPr>
          <w:lang w:val="en-US"/>
        </w:rPr>
        <w:t xml:space="preserve">         </w:t>
      </w:r>
      <w:r w:rsidR="00CA72F3" w:rsidRPr="00B67083">
        <w:rPr>
          <w:b/>
          <w:bCs/>
          <w:highlight w:val="yellow"/>
          <w:lang w:val="en-US"/>
        </w:rPr>
        <w:t xml:space="preserve">A 1% bid guarantee and a 5% performance guarantee were </w:t>
      </w:r>
      <w:proofErr w:type="gramStart"/>
      <w:r w:rsidR="00CA72F3" w:rsidRPr="00B67083">
        <w:rPr>
          <w:b/>
          <w:bCs/>
          <w:highlight w:val="yellow"/>
          <w:lang w:val="en-US"/>
        </w:rPr>
        <w:t>requested .</w:t>
      </w:r>
      <w:proofErr w:type="gramEnd"/>
      <w:r w:rsidRPr="00B76C5C">
        <w:rPr>
          <w:b/>
          <w:bCs/>
          <w:lang w:val="en-US"/>
        </w:rPr>
        <w:t xml:space="preserve">  </w:t>
      </w:r>
    </w:p>
    <w:p w14:paraId="3D049437" w14:textId="77777777" w:rsidR="005003B2" w:rsidRPr="005003B2" w:rsidRDefault="005003B2" w:rsidP="005003B2">
      <w:pPr>
        <w:spacing w:after="0"/>
        <w:ind w:left="696" w:hanging="351"/>
        <w:rPr>
          <w:b/>
          <w:bCs/>
          <w:lang w:val="en-US"/>
        </w:rPr>
      </w:pPr>
      <w:r w:rsidRPr="005003B2">
        <w:rPr>
          <w:b/>
          <w:bCs/>
          <w:lang w:val="en-US"/>
        </w:rPr>
        <w:t>MDI</w:t>
      </w:r>
    </w:p>
    <w:p w14:paraId="73B6E3FC" w14:textId="77777777" w:rsidR="005003B2" w:rsidRPr="005003B2" w:rsidRDefault="005003B2" w:rsidP="005003B2">
      <w:pPr>
        <w:spacing w:after="0"/>
        <w:ind w:left="696" w:hanging="351"/>
        <w:rPr>
          <w:b/>
          <w:bCs/>
          <w:lang w:val="en-US"/>
        </w:rPr>
      </w:pPr>
      <w:r w:rsidRPr="005003B2">
        <w:rPr>
          <w:b/>
          <w:bCs/>
          <w:lang w:val="en-US"/>
        </w:rPr>
        <w:t>Guarantee per offer 1%</w:t>
      </w:r>
    </w:p>
    <w:p w14:paraId="405A44EA" w14:textId="77777777" w:rsidR="005003B2" w:rsidRPr="005003B2" w:rsidRDefault="005003B2" w:rsidP="005003B2">
      <w:pPr>
        <w:spacing w:after="0"/>
        <w:ind w:left="696" w:hanging="351"/>
        <w:rPr>
          <w:b/>
          <w:bCs/>
          <w:lang w:val="en-US"/>
        </w:rPr>
      </w:pPr>
      <w:r w:rsidRPr="005003B2">
        <w:rPr>
          <w:b/>
          <w:bCs/>
          <w:lang w:val="en-US"/>
        </w:rPr>
        <w:t>Regional Search and Rescue Directorate No. 2</w:t>
      </w:r>
    </w:p>
    <w:p w14:paraId="62129CAC" w14:textId="77777777" w:rsidR="005003B2" w:rsidRPr="005003B2" w:rsidRDefault="005003B2" w:rsidP="005003B2">
      <w:pPr>
        <w:spacing w:after="0"/>
        <w:ind w:left="696" w:hanging="351"/>
        <w:rPr>
          <w:b/>
          <w:bCs/>
          <w:lang w:val="en-US"/>
        </w:rPr>
      </w:pPr>
      <w:r w:rsidRPr="005003B2">
        <w:rPr>
          <w:b/>
          <w:bCs/>
          <w:lang w:val="en-US"/>
        </w:rPr>
        <w:t xml:space="preserve">Balti city, </w:t>
      </w:r>
      <w:proofErr w:type="spellStart"/>
      <w:r w:rsidRPr="005003B2">
        <w:rPr>
          <w:b/>
          <w:bCs/>
          <w:lang w:val="en-US"/>
        </w:rPr>
        <w:t>Moscovei</w:t>
      </w:r>
      <w:proofErr w:type="spellEnd"/>
      <w:r w:rsidRPr="005003B2">
        <w:rPr>
          <w:b/>
          <w:bCs/>
          <w:lang w:val="en-US"/>
        </w:rPr>
        <w:t xml:space="preserve"> street, 1</w:t>
      </w:r>
    </w:p>
    <w:p w14:paraId="7F116040" w14:textId="77777777" w:rsidR="005003B2" w:rsidRPr="005003B2" w:rsidRDefault="005003B2" w:rsidP="005003B2">
      <w:pPr>
        <w:spacing w:after="0"/>
        <w:ind w:left="696" w:hanging="351"/>
        <w:rPr>
          <w:b/>
          <w:bCs/>
          <w:lang w:val="en-US"/>
        </w:rPr>
      </w:pPr>
      <w:r w:rsidRPr="005003B2">
        <w:rPr>
          <w:b/>
          <w:bCs/>
          <w:lang w:val="en-US"/>
        </w:rPr>
        <w:t>c/o 1007601011456</w:t>
      </w:r>
    </w:p>
    <w:p w14:paraId="58A67B6C" w14:textId="77777777" w:rsidR="005003B2" w:rsidRPr="005003B2" w:rsidRDefault="005003B2" w:rsidP="005003B2">
      <w:pPr>
        <w:spacing w:after="0"/>
        <w:ind w:left="696" w:hanging="351"/>
        <w:rPr>
          <w:b/>
          <w:bCs/>
          <w:lang w:val="en-US"/>
        </w:rPr>
      </w:pPr>
      <w:r w:rsidRPr="005003B2">
        <w:rPr>
          <w:b/>
          <w:bCs/>
          <w:lang w:val="en-US"/>
        </w:rPr>
        <w:t>IBAN MD15TRPCAH518410A02045AA</w:t>
      </w:r>
    </w:p>
    <w:p w14:paraId="05D9C7F6" w14:textId="77777777" w:rsidR="005003B2" w:rsidRDefault="005003B2" w:rsidP="005003B2">
      <w:pPr>
        <w:spacing w:after="0"/>
        <w:ind w:left="696" w:hanging="351"/>
        <w:rPr>
          <w:b/>
          <w:bCs/>
          <w:lang w:val="en-US"/>
        </w:rPr>
      </w:pPr>
      <w:r w:rsidRPr="005003B2">
        <w:rPr>
          <w:b/>
          <w:bCs/>
          <w:lang w:val="en-US"/>
        </w:rPr>
        <w:t>Ministry of Finance State Treasury</w:t>
      </w:r>
    </w:p>
    <w:p w14:paraId="20C252F1" w14:textId="77777777" w:rsidR="005003B2" w:rsidRDefault="005003B2" w:rsidP="005003B2">
      <w:pPr>
        <w:spacing w:after="0"/>
        <w:ind w:left="696" w:hanging="351"/>
        <w:rPr>
          <w:b/>
          <w:bCs/>
          <w:lang w:val="en-US"/>
        </w:rPr>
      </w:pPr>
    </w:p>
    <w:p w14:paraId="181FEAE4" w14:textId="77777777" w:rsidR="005003B2" w:rsidRDefault="005003B2" w:rsidP="005003B2">
      <w:pPr>
        <w:spacing w:after="0"/>
        <w:ind w:left="696" w:hanging="351"/>
        <w:rPr>
          <w:b/>
          <w:bCs/>
          <w:lang w:val="en-US"/>
        </w:rPr>
      </w:pPr>
    </w:p>
    <w:p w14:paraId="07345E64" w14:textId="77777777" w:rsidR="005003B2" w:rsidRPr="005003B2" w:rsidRDefault="005003B2" w:rsidP="005003B2">
      <w:pPr>
        <w:spacing w:after="0"/>
        <w:ind w:left="696" w:hanging="351"/>
        <w:rPr>
          <w:b/>
          <w:bCs/>
          <w:lang w:val="en-US"/>
        </w:rPr>
      </w:pPr>
    </w:p>
    <w:p w14:paraId="0ED8E729" w14:textId="77777777" w:rsidR="005003B2" w:rsidRPr="005003B2" w:rsidRDefault="005003B2" w:rsidP="005003B2">
      <w:pPr>
        <w:spacing w:after="0"/>
        <w:ind w:left="696" w:hanging="351"/>
        <w:rPr>
          <w:b/>
          <w:bCs/>
          <w:lang w:val="en-US"/>
        </w:rPr>
      </w:pPr>
    </w:p>
    <w:p w14:paraId="3228CB9D" w14:textId="77777777" w:rsidR="005003B2" w:rsidRPr="005003B2" w:rsidRDefault="005003B2" w:rsidP="005003B2">
      <w:pPr>
        <w:spacing w:after="0"/>
        <w:ind w:left="696" w:hanging="351"/>
        <w:rPr>
          <w:b/>
          <w:bCs/>
          <w:lang w:val="en-US"/>
        </w:rPr>
      </w:pPr>
      <w:r w:rsidRPr="005003B2">
        <w:rPr>
          <w:b/>
          <w:bCs/>
          <w:lang w:val="en-US"/>
        </w:rPr>
        <w:lastRenderedPageBreak/>
        <w:t>5% performance guarantee</w:t>
      </w:r>
    </w:p>
    <w:p w14:paraId="51359570" w14:textId="77777777" w:rsidR="005003B2" w:rsidRPr="005003B2" w:rsidRDefault="005003B2" w:rsidP="005003B2">
      <w:pPr>
        <w:spacing w:after="0"/>
        <w:ind w:left="696" w:hanging="351"/>
        <w:rPr>
          <w:b/>
          <w:bCs/>
          <w:lang w:val="en-US"/>
        </w:rPr>
      </w:pPr>
      <w:r w:rsidRPr="005003B2">
        <w:rPr>
          <w:b/>
          <w:bCs/>
          <w:lang w:val="en-US"/>
        </w:rPr>
        <w:t>Regional Search and Rescue Directorate No. 2</w:t>
      </w:r>
    </w:p>
    <w:p w14:paraId="0FB2BAC3" w14:textId="77777777" w:rsidR="005003B2" w:rsidRPr="005003B2" w:rsidRDefault="005003B2" w:rsidP="005003B2">
      <w:pPr>
        <w:spacing w:after="0"/>
        <w:ind w:left="696" w:hanging="351"/>
        <w:rPr>
          <w:b/>
          <w:bCs/>
          <w:lang w:val="en-US"/>
        </w:rPr>
      </w:pPr>
      <w:r w:rsidRPr="005003B2">
        <w:rPr>
          <w:b/>
          <w:bCs/>
          <w:lang w:val="en-US"/>
        </w:rPr>
        <w:t xml:space="preserve">Balti city, </w:t>
      </w:r>
      <w:proofErr w:type="spellStart"/>
      <w:r w:rsidRPr="005003B2">
        <w:rPr>
          <w:b/>
          <w:bCs/>
          <w:lang w:val="en-US"/>
        </w:rPr>
        <w:t>Moscovei</w:t>
      </w:r>
      <w:proofErr w:type="spellEnd"/>
      <w:r w:rsidRPr="005003B2">
        <w:rPr>
          <w:b/>
          <w:bCs/>
          <w:lang w:val="en-US"/>
        </w:rPr>
        <w:t xml:space="preserve"> street, 1</w:t>
      </w:r>
    </w:p>
    <w:p w14:paraId="56B392D8" w14:textId="77777777" w:rsidR="005003B2" w:rsidRPr="005003B2" w:rsidRDefault="005003B2" w:rsidP="005003B2">
      <w:pPr>
        <w:spacing w:after="0"/>
        <w:ind w:left="696" w:hanging="351"/>
        <w:rPr>
          <w:b/>
          <w:bCs/>
          <w:lang w:val="en-US"/>
        </w:rPr>
      </w:pPr>
      <w:r w:rsidRPr="005003B2">
        <w:rPr>
          <w:b/>
          <w:bCs/>
          <w:lang w:val="en-US"/>
        </w:rPr>
        <w:t>c/o 1007601011456</w:t>
      </w:r>
    </w:p>
    <w:p w14:paraId="421557AA" w14:textId="77777777" w:rsidR="005003B2" w:rsidRPr="005003B2" w:rsidRDefault="005003B2" w:rsidP="005003B2">
      <w:pPr>
        <w:spacing w:after="0"/>
        <w:ind w:left="696" w:hanging="351"/>
        <w:rPr>
          <w:b/>
          <w:bCs/>
          <w:lang w:val="en-US"/>
        </w:rPr>
      </w:pPr>
      <w:r w:rsidRPr="005003B2">
        <w:rPr>
          <w:b/>
          <w:bCs/>
          <w:lang w:val="en-US"/>
        </w:rPr>
        <w:t>IBAN MD39TRPCAH518440A02045AA</w:t>
      </w:r>
    </w:p>
    <w:p w14:paraId="3828A79E" w14:textId="47D0DD83" w:rsidR="007E1C46" w:rsidRDefault="005003B2" w:rsidP="005003B2">
      <w:pPr>
        <w:spacing w:after="0"/>
        <w:ind w:left="696" w:hanging="351"/>
        <w:rPr>
          <w:b/>
          <w:bCs/>
          <w:lang w:val="en-US"/>
        </w:rPr>
      </w:pPr>
      <w:r w:rsidRPr="005003B2">
        <w:rPr>
          <w:b/>
          <w:bCs/>
          <w:lang w:val="en-US"/>
        </w:rPr>
        <w:t>Ministry of Finance State Treasury</w:t>
      </w:r>
    </w:p>
    <w:p w14:paraId="59A14F64" w14:textId="77777777" w:rsidR="005003B2" w:rsidRPr="00B76C5C" w:rsidRDefault="005003B2">
      <w:pPr>
        <w:spacing w:after="192"/>
        <w:ind w:left="696" w:hanging="351"/>
        <w:rPr>
          <w:b/>
          <w:bCs/>
          <w:lang w:val="en-US"/>
        </w:rPr>
      </w:pPr>
    </w:p>
    <w:p w14:paraId="75EED9CE" w14:textId="77777777" w:rsidR="00E6518B" w:rsidRPr="004604E2" w:rsidRDefault="00473C7B">
      <w:pPr>
        <w:pStyle w:val="2"/>
        <w:spacing w:after="175" w:line="263" w:lineRule="auto"/>
        <w:ind w:left="355"/>
        <w:rPr>
          <w:lang w:val="en-US"/>
        </w:rPr>
      </w:pPr>
      <w:r w:rsidRPr="004604E2">
        <w:rPr>
          <w:lang w:val="en-US"/>
        </w:rPr>
        <w:t>8. Number and name of lots</w:t>
      </w:r>
      <w:r w:rsidRPr="004604E2">
        <w:rPr>
          <w:b w:val="0"/>
          <w:lang w:val="en-US"/>
        </w:rPr>
        <w:t xml:space="preserve"> </w:t>
      </w:r>
    </w:p>
    <w:p w14:paraId="537C6DE1" w14:textId="1B9827AF" w:rsidR="00E6518B" w:rsidRPr="00B67083" w:rsidRDefault="007A3CAD">
      <w:pPr>
        <w:spacing w:after="198" w:line="259" w:lineRule="auto"/>
        <w:ind w:left="167" w:right="-137" w:firstLine="0"/>
        <w:jc w:val="left"/>
        <w:rPr>
          <w:lang w:val="en-US"/>
        </w:rPr>
      </w:pPr>
      <w:r>
        <w:rPr>
          <w:lang w:val="ro-MD"/>
        </w:rPr>
        <w:t>I lot /vehicle 8+1 seats</w:t>
      </w:r>
      <w:r>
        <w:rPr>
          <w:rFonts w:ascii="Calibri" w:eastAsia="Calibri" w:hAnsi="Calibri" w:cs="Calibri"/>
          <w:noProof/>
          <w:lang w:val="en-US" w:eastAsia="en-US"/>
        </w:rPr>
        <mc:AlternateContent>
          <mc:Choice Requires="wpg">
            <w:drawing>
              <wp:inline distT="0" distB="0" distL="0" distR="0" wp14:anchorId="2CB9AA39" wp14:editId="69C425DF">
                <wp:extent cx="5943601" cy="24385"/>
                <wp:effectExtent l="0" t="0" r="0" b="0"/>
                <wp:docPr id="5028" name="Group 5028"/>
                <wp:cNvGraphicFramePr/>
                <a:graphic xmlns:a="http://schemas.openxmlformats.org/drawingml/2006/main">
                  <a:graphicData uri="http://schemas.microsoft.com/office/word/2010/wordprocessingGroup">
                    <wpg:wgp>
                      <wpg:cNvGrpSpPr/>
                      <wpg:grpSpPr>
                        <a:xfrm>
                          <a:off x="0" y="0"/>
                          <a:ext cx="5943601" cy="24385"/>
                          <a:chOff x="0" y="0"/>
                          <a:chExt cx="5943601" cy="24385"/>
                        </a:xfrm>
                      </wpg:grpSpPr>
                      <wps:wsp>
                        <wps:cNvPr id="217" name="Shape 217"/>
                        <wps:cNvSpPr/>
                        <wps:spPr>
                          <a:xfrm>
                            <a:off x="0" y="0"/>
                            <a:ext cx="5943601" cy="22861"/>
                          </a:xfrm>
                          <a:custGeom>
                            <a:avLst/>
                            <a:gdLst/>
                            <a:ahLst/>
                            <a:cxnLst/>
                            <a:rect l="0" t="0" r="0" b="0"/>
                            <a:pathLst>
                              <a:path w="5943601" h="22861">
                                <a:moveTo>
                                  <a:pt x="0" y="0"/>
                                </a:moveTo>
                                <a:lnTo>
                                  <a:pt x="5943601" y="636"/>
                                </a:lnTo>
                                <a:lnTo>
                                  <a:pt x="5943601" y="22861"/>
                                </a:lnTo>
                                <a:lnTo>
                                  <a:pt x="0" y="22225"/>
                                </a:lnTo>
                                <a:lnTo>
                                  <a:pt x="0" y="0"/>
                                </a:lnTo>
                                <a:close/>
                              </a:path>
                            </a:pathLst>
                          </a:custGeom>
                          <a:ln w="0" cap="flat">
                            <a:round/>
                          </a:ln>
                        </wps:spPr>
                        <wps:style>
                          <a:lnRef idx="0">
                            <a:srgbClr val="000000">
                              <a:alpha val="0"/>
                            </a:srgbClr>
                          </a:lnRef>
                          <a:fillRef idx="1">
                            <a:srgbClr val="808080"/>
                          </a:fillRef>
                          <a:effectRef idx="0">
                            <a:scrgbClr r="0" g="0" b="0"/>
                          </a:effectRef>
                          <a:fontRef idx="none"/>
                        </wps:style>
                        <wps:bodyPr/>
                      </wps:wsp>
                      <wps:wsp>
                        <wps:cNvPr id="218" name="Shape 218"/>
                        <wps:cNvSpPr/>
                        <wps:spPr>
                          <a:xfrm>
                            <a:off x="0" y="23749"/>
                            <a:ext cx="5943601" cy="636"/>
                          </a:xfrm>
                          <a:custGeom>
                            <a:avLst/>
                            <a:gdLst/>
                            <a:ahLst/>
                            <a:cxnLst/>
                            <a:rect l="0" t="0" r="0" b="0"/>
                            <a:pathLst>
                              <a:path w="5943601" h="636">
                                <a:moveTo>
                                  <a:pt x="0" y="0"/>
                                </a:moveTo>
                                <a:lnTo>
                                  <a:pt x="5943601" y="636"/>
                                </a:lnTo>
                              </a:path>
                            </a:pathLst>
                          </a:custGeom>
                          <a:ln w="22225" cap="flat">
                            <a:round/>
                          </a:ln>
                        </wps:spPr>
                        <wps:style>
                          <a:lnRef idx="1">
                            <a:srgbClr val="D4D4D4"/>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w:pict>
              <v:group id="Group 5028" style="width:468pt;height:1.92004pt;mso-position-horizontal-relative:char;mso-position-vertical-relative:line" coordsize="59436,243">
                <v:shape id="Shape 217" style="position:absolute;width:59436;height:228;left:0;top:0;" coordsize="5943601,22861" path="m0,0l5943601,636l5943601,22861l0,22225l0,0x">
                  <v:stroke weight="0pt" endcap="flat" joinstyle="round" on="false" color="#000000" opacity="0"/>
                  <v:fill on="true" color="#808080"/>
                </v:shape>
                <v:shape id="Shape 218" style="position:absolute;width:59436;height:6;left:0;top:237;" coordsize="5943601,636" path="m0,0l5943601,636">
                  <v:stroke weight="1.75pt" endcap="flat" joinstyle="round" on="true" color="#d4d4d4"/>
                  <v:fill on="false" color="#000000" opacity="0"/>
                </v:shape>
              </v:group>
            </w:pict>
          </mc:Fallback>
        </mc:AlternateContent>
      </w:r>
    </w:p>
    <w:p w14:paraId="43997F1F" w14:textId="77777777" w:rsidR="007E1C46" w:rsidRDefault="007E1C46">
      <w:pPr>
        <w:pStyle w:val="1"/>
        <w:rPr>
          <w:lang w:val="en-US"/>
        </w:rPr>
      </w:pPr>
    </w:p>
    <w:p w14:paraId="67902841" w14:textId="72C32619" w:rsidR="00E6518B" w:rsidRPr="004604E2" w:rsidRDefault="00473C7B">
      <w:pPr>
        <w:pStyle w:val="1"/>
        <w:rPr>
          <w:lang w:val="en-US"/>
        </w:rPr>
      </w:pPr>
      <w:r w:rsidRPr="004604E2">
        <w:rPr>
          <w:lang w:val="en-US"/>
        </w:rPr>
        <w:t>CONDITIONS OF PARTICIPATION</w:t>
      </w:r>
      <w:r w:rsidRPr="004604E2">
        <w:rPr>
          <w:b w:val="0"/>
          <w:lang w:val="en-US"/>
        </w:rPr>
        <w:t xml:space="preserve"> </w:t>
      </w:r>
    </w:p>
    <w:p w14:paraId="20652573" w14:textId="77777777" w:rsidR="00E6518B" w:rsidRPr="004604E2" w:rsidRDefault="00473C7B">
      <w:pPr>
        <w:spacing w:after="84" w:line="249" w:lineRule="auto"/>
        <w:ind w:left="355"/>
        <w:jc w:val="left"/>
        <w:rPr>
          <w:lang w:val="en-US"/>
        </w:rPr>
      </w:pPr>
      <w:r w:rsidRPr="004604E2">
        <w:rPr>
          <w:b/>
          <w:lang w:val="en-US"/>
        </w:rPr>
        <w:t>9. Legal basis</w:t>
      </w:r>
    </w:p>
    <w:p w14:paraId="635A6C77" w14:textId="2F9BB0A9" w:rsidR="00E6518B" w:rsidRPr="004604E2" w:rsidRDefault="00473C7B" w:rsidP="007A3CAD">
      <w:pPr>
        <w:spacing w:after="77" w:line="259" w:lineRule="auto"/>
        <w:ind w:left="0" w:firstLine="0"/>
        <w:jc w:val="left"/>
        <w:rPr>
          <w:lang w:val="en-US"/>
        </w:rPr>
      </w:pPr>
      <w:r w:rsidRPr="004604E2">
        <w:rPr>
          <w:lang w:val="en-US"/>
        </w:rPr>
        <w:t xml:space="preserve">ROMD00074 FLOOD </w:t>
      </w:r>
      <w:r w:rsidR="007A3CAD" w:rsidRPr="007A3CAD">
        <w:rPr>
          <w:lang w:val="en-US"/>
        </w:rPr>
        <w:t xml:space="preserve">RESCUE " Joint preparation for saving lives in case of flooding - FLOOD RESCUE" within the </w:t>
      </w:r>
      <w:proofErr w:type="spellStart"/>
      <w:r w:rsidR="007A3CAD" w:rsidRPr="007A3CAD">
        <w:rPr>
          <w:lang w:val="en-US"/>
        </w:rPr>
        <w:t>Interreg</w:t>
      </w:r>
      <w:proofErr w:type="spellEnd"/>
      <w:r w:rsidR="007A3CAD" w:rsidRPr="007A3CAD">
        <w:rPr>
          <w:lang w:val="en-US"/>
        </w:rPr>
        <w:t xml:space="preserve"> VI-A Next Romania-Republic of Moldova </w:t>
      </w:r>
      <w:proofErr w:type="spellStart"/>
      <w:r w:rsidR="007A3CAD" w:rsidRPr="007A3CAD">
        <w:rPr>
          <w:lang w:val="en-US"/>
        </w:rPr>
        <w:t>Programme</w:t>
      </w:r>
      <w:proofErr w:type="spellEnd"/>
      <w:r w:rsidR="007A3CAD" w:rsidRPr="007A3CAD">
        <w:rPr>
          <w:lang w:val="en-US"/>
        </w:rPr>
        <w:t>, co-financed by the European Union</w:t>
      </w:r>
    </w:p>
    <w:p w14:paraId="5D2E8916" w14:textId="43BF6AA4" w:rsidR="00E6518B" w:rsidRPr="004604E2" w:rsidRDefault="00473C7B">
      <w:pPr>
        <w:spacing w:line="249" w:lineRule="auto"/>
        <w:ind w:left="721"/>
        <w:jc w:val="left"/>
        <w:rPr>
          <w:lang w:val="en-US"/>
        </w:rPr>
      </w:pPr>
      <w:r w:rsidRPr="004604E2">
        <w:rPr>
          <w:b/>
          <w:lang w:val="en-US"/>
        </w:rPr>
        <w:t xml:space="preserve"> </w:t>
      </w:r>
    </w:p>
    <w:p w14:paraId="5D4DF5EB" w14:textId="77777777" w:rsidR="00E6518B" w:rsidRPr="004604E2" w:rsidRDefault="00473C7B">
      <w:pPr>
        <w:spacing w:after="82" w:line="259" w:lineRule="auto"/>
        <w:ind w:left="428" w:firstLine="0"/>
        <w:jc w:val="left"/>
        <w:rPr>
          <w:lang w:val="en-US"/>
        </w:rPr>
      </w:pPr>
      <w:r w:rsidRPr="004604E2">
        <w:rPr>
          <w:lang w:val="en-US"/>
        </w:rPr>
        <w:t xml:space="preserve"> </w:t>
      </w:r>
    </w:p>
    <w:p w14:paraId="12E02BEA" w14:textId="77777777" w:rsidR="00E6518B" w:rsidRPr="004604E2" w:rsidRDefault="00473C7B">
      <w:pPr>
        <w:pStyle w:val="3"/>
        <w:ind w:left="355"/>
        <w:rPr>
          <w:lang w:val="en-US"/>
        </w:rPr>
      </w:pPr>
      <w:r w:rsidRPr="004604E2">
        <w:rPr>
          <w:lang w:val="en-US"/>
        </w:rPr>
        <w:t>10. Number of offers</w:t>
      </w:r>
      <w:r w:rsidRPr="004604E2">
        <w:rPr>
          <w:b w:val="0"/>
          <w:lang w:val="en-US"/>
        </w:rPr>
        <w:t xml:space="preserve"> </w:t>
      </w:r>
    </w:p>
    <w:p w14:paraId="3D0166EE" w14:textId="77777777" w:rsidR="00E6518B" w:rsidRPr="004604E2" w:rsidRDefault="00473C7B">
      <w:pPr>
        <w:spacing w:after="189" w:line="249" w:lineRule="auto"/>
        <w:ind w:left="355"/>
        <w:jc w:val="left"/>
        <w:rPr>
          <w:lang w:val="en-US"/>
        </w:rPr>
      </w:pPr>
      <w:r w:rsidRPr="004604E2">
        <w:rPr>
          <w:lang w:val="en-US"/>
        </w:rPr>
        <w:t>A natural or legal person may submit only one bid, regardless of the form of participation (such as</w:t>
      </w:r>
    </w:p>
    <w:p w14:paraId="79D697C4" w14:textId="77777777" w:rsidR="00E6518B" w:rsidRPr="004604E2" w:rsidRDefault="00473C7B">
      <w:pPr>
        <w:spacing w:after="188"/>
        <w:ind w:left="355" w:right="363"/>
        <w:rPr>
          <w:lang w:val="en-US"/>
        </w:rPr>
      </w:pPr>
      <w:r w:rsidRPr="004604E2">
        <w:rPr>
          <w:lang w:val="en-US"/>
        </w:rPr>
        <w:t>individual legal entity or as leader or member of a consortium submitting a bid). If a natural or legal person submits more than one bid, all bids in which that person participated will be excluded.</w:t>
      </w:r>
    </w:p>
    <w:p w14:paraId="03D7766E" w14:textId="77777777" w:rsidR="00E6518B" w:rsidRPr="004604E2" w:rsidRDefault="00473C7B">
      <w:pPr>
        <w:pStyle w:val="3"/>
        <w:ind w:left="355"/>
        <w:rPr>
          <w:lang w:val="en-US"/>
        </w:rPr>
      </w:pPr>
      <w:r w:rsidRPr="004604E2">
        <w:rPr>
          <w:lang w:val="en-US"/>
        </w:rPr>
        <w:t>11. Grounds for exclusion</w:t>
      </w:r>
      <w:r w:rsidRPr="004604E2">
        <w:rPr>
          <w:b w:val="0"/>
          <w:lang w:val="en-US"/>
        </w:rPr>
        <w:t xml:space="preserve"> </w:t>
      </w:r>
    </w:p>
    <w:p w14:paraId="7BE6FDC6" w14:textId="77777777" w:rsidR="00E6518B" w:rsidRPr="004604E2" w:rsidRDefault="00473C7B">
      <w:pPr>
        <w:spacing w:after="207"/>
        <w:ind w:left="355" w:right="363"/>
        <w:rPr>
          <w:lang w:val="en-US"/>
        </w:rPr>
      </w:pPr>
      <w:r w:rsidRPr="004604E2">
        <w:rPr>
          <w:lang w:val="en-US"/>
        </w:rPr>
        <w:t xml:space="preserve">As part of the tender, tenderers must submit a signed declaration, included in the tender form, attesting that they are not in any of the exclusion situations listed in point 18 of Annex II to the Financing Agreement between the European Commission and the Partner Country </w:t>
      </w:r>
      <w:r w:rsidRPr="004604E2">
        <w:rPr>
          <w:vertAlign w:val="superscript"/>
          <w:lang w:val="en-US"/>
        </w:rPr>
        <w:t xml:space="preserve">1 </w:t>
      </w:r>
      <w:r w:rsidRPr="004604E2">
        <w:rPr>
          <w:lang w:val="en-US"/>
        </w:rPr>
        <w:t>.</w:t>
      </w:r>
    </w:p>
    <w:p w14:paraId="67A28E63" w14:textId="77777777" w:rsidR="00E6518B" w:rsidRPr="004604E2" w:rsidRDefault="00473C7B">
      <w:pPr>
        <w:spacing w:after="189" w:line="249" w:lineRule="auto"/>
        <w:ind w:left="355"/>
        <w:jc w:val="left"/>
        <w:rPr>
          <w:lang w:val="en-US"/>
        </w:rPr>
      </w:pPr>
      <w:r w:rsidRPr="004604E2">
        <w:rPr>
          <w:lang w:val="en-US"/>
        </w:rPr>
        <w:t xml:space="preserve">Tenderers included in the EU restrictive measures lists ( </w:t>
      </w:r>
      <w:hyperlink r:id="rId7">
        <w:r w:rsidR="00E6518B" w:rsidRPr="004604E2">
          <w:rPr>
            <w:color w:val="0000FF"/>
            <w:u w:val="single" w:color="0000FF"/>
            <w:lang w:val="en-US"/>
          </w:rPr>
          <w:t xml:space="preserve">www.sanctionsmap.eu </w:t>
        </w:r>
      </w:hyperlink>
      <w:hyperlink r:id="rId8">
        <w:r w:rsidR="00E6518B" w:rsidRPr="004604E2">
          <w:rPr>
            <w:lang w:val="en-US"/>
          </w:rPr>
          <w:t xml:space="preserve">) </w:t>
        </w:r>
      </w:hyperlink>
      <w:r w:rsidRPr="004604E2">
        <w:rPr>
          <w:lang w:val="en-US"/>
        </w:rPr>
        <w:t>at the time of the award decision cannot benefit from the contract.</w:t>
      </w:r>
    </w:p>
    <w:p w14:paraId="623D56BC" w14:textId="77777777" w:rsidR="00E6518B" w:rsidRDefault="00473C7B">
      <w:pPr>
        <w:pStyle w:val="3"/>
        <w:ind w:left="355"/>
      </w:pPr>
      <w:r>
        <w:t>12. Subcontracting</w:t>
      </w:r>
      <w:r>
        <w:rPr>
          <w:b w:val="0"/>
        </w:rPr>
        <w:t xml:space="preserve"> </w:t>
      </w:r>
    </w:p>
    <w:p w14:paraId="66356447" w14:textId="77777777" w:rsidR="00E6518B" w:rsidRDefault="00473C7B">
      <w:pPr>
        <w:spacing w:after="191"/>
        <w:ind w:left="355"/>
      </w:pPr>
      <w:r>
        <w:t>Subcontracting is permitted.</w:t>
      </w:r>
    </w:p>
    <w:p w14:paraId="2954ECE8" w14:textId="77777777" w:rsidR="00E6518B" w:rsidRDefault="00473C7B">
      <w:pPr>
        <w:spacing w:after="0" w:line="259" w:lineRule="auto"/>
        <w:ind w:left="360" w:firstLine="0"/>
        <w:jc w:val="left"/>
      </w:pPr>
      <w:r>
        <w:t xml:space="preserve"> </w:t>
      </w:r>
    </w:p>
    <w:p w14:paraId="3A115673" w14:textId="77777777" w:rsidR="00E6518B" w:rsidRDefault="00473C7B">
      <w:pPr>
        <w:spacing w:after="131" w:line="259" w:lineRule="auto"/>
        <w:ind w:left="32" w:right="-2" w:firstLine="0"/>
        <w:jc w:val="left"/>
      </w:pPr>
      <w:r>
        <w:rPr>
          <w:rFonts w:ascii="Calibri" w:eastAsia="Calibri" w:hAnsi="Calibri" w:cs="Calibri"/>
          <w:noProof/>
          <w:lang w:val="en-US" w:eastAsia="en-US"/>
        </w:rPr>
        <mc:AlternateContent>
          <mc:Choice Requires="wpg">
            <w:drawing>
              <wp:inline distT="0" distB="0" distL="0" distR="0" wp14:anchorId="24EDBBB2" wp14:editId="4F4673C7">
                <wp:extent cx="5943601" cy="24384"/>
                <wp:effectExtent l="0" t="0" r="0" b="0"/>
                <wp:docPr id="5226" name="Group 5226"/>
                <wp:cNvGraphicFramePr/>
                <a:graphic xmlns:a="http://schemas.openxmlformats.org/drawingml/2006/main">
                  <a:graphicData uri="http://schemas.microsoft.com/office/word/2010/wordprocessingGroup">
                    <wpg:wgp>
                      <wpg:cNvGrpSpPr/>
                      <wpg:grpSpPr>
                        <a:xfrm>
                          <a:off x="0" y="0"/>
                          <a:ext cx="5943601" cy="24384"/>
                          <a:chOff x="0" y="0"/>
                          <a:chExt cx="5943601" cy="24384"/>
                        </a:xfrm>
                      </wpg:grpSpPr>
                      <wps:wsp>
                        <wps:cNvPr id="413" name="Shape 413"/>
                        <wps:cNvSpPr/>
                        <wps:spPr>
                          <a:xfrm>
                            <a:off x="0" y="0"/>
                            <a:ext cx="5943601" cy="22860"/>
                          </a:xfrm>
                          <a:custGeom>
                            <a:avLst/>
                            <a:gdLst/>
                            <a:ahLst/>
                            <a:cxnLst/>
                            <a:rect l="0" t="0" r="0" b="0"/>
                            <a:pathLst>
                              <a:path w="5943601" h="22860">
                                <a:moveTo>
                                  <a:pt x="0" y="0"/>
                                </a:moveTo>
                                <a:lnTo>
                                  <a:pt x="5943601" y="635"/>
                                </a:lnTo>
                                <a:lnTo>
                                  <a:pt x="5943601" y="22860"/>
                                </a:lnTo>
                                <a:lnTo>
                                  <a:pt x="0" y="22225"/>
                                </a:lnTo>
                                <a:lnTo>
                                  <a:pt x="0" y="0"/>
                                </a:lnTo>
                                <a:close/>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414" name="Shape 414"/>
                        <wps:cNvSpPr/>
                        <wps:spPr>
                          <a:xfrm>
                            <a:off x="0" y="23749"/>
                            <a:ext cx="5943601" cy="635"/>
                          </a:xfrm>
                          <a:custGeom>
                            <a:avLst/>
                            <a:gdLst/>
                            <a:ahLst/>
                            <a:cxnLst/>
                            <a:rect l="0" t="0" r="0" b="0"/>
                            <a:pathLst>
                              <a:path w="5943601" h="635">
                                <a:moveTo>
                                  <a:pt x="0" y="0"/>
                                </a:moveTo>
                                <a:lnTo>
                                  <a:pt x="5943601" y="635"/>
                                </a:lnTo>
                              </a:path>
                            </a:pathLst>
                          </a:custGeom>
                          <a:ln w="22225" cap="flat">
                            <a:round/>
                          </a:ln>
                        </wps:spPr>
                        <wps:style>
                          <a:lnRef idx="1">
                            <a:srgbClr val="D4D4D4"/>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w:pict>
              <v:group id="Group 5226" style="width:468pt;height:1.92001pt;mso-position-horizontal-relative:char;mso-position-vertical-relative:line" coordsize="59436,243">
                <v:shape id="Shape 413" style="position:absolute;width:59436;height:228;left:0;top:0;" coordsize="5943601,22860" path="m0,0l5943601,635l5943601,22860l0,22225l0,0x">
                  <v:stroke weight="0pt" endcap="flat" joinstyle="miter" miterlimit="10" on="false" color="#000000" opacity="0"/>
                  <v:fill on="true" color="#808080"/>
                </v:shape>
                <v:shape id="Shape 414" style="position:absolute;width:59436;height:6;left:0;top:237;" coordsize="5943601,635" path="m0,0l5943601,635">
                  <v:stroke weight="1.75pt" endcap="flat" joinstyle="round" on="true" color="#d4d4d4"/>
                  <v:fill on="false" color="#000000" opacity="0"/>
                </v:shape>
              </v:group>
            </w:pict>
          </mc:Fallback>
        </mc:AlternateContent>
      </w:r>
    </w:p>
    <w:p w14:paraId="462E4F45" w14:textId="77777777" w:rsidR="00E6518B" w:rsidRPr="004604E2" w:rsidRDefault="00473C7B">
      <w:pPr>
        <w:spacing w:after="138" w:line="249" w:lineRule="auto"/>
        <w:ind w:left="10" w:right="16"/>
        <w:jc w:val="center"/>
        <w:rPr>
          <w:lang w:val="en-US"/>
        </w:rPr>
      </w:pPr>
      <w:r w:rsidRPr="004604E2">
        <w:rPr>
          <w:b/>
          <w:sz w:val="28"/>
          <w:lang w:val="en-US"/>
        </w:rPr>
        <w:t>PROVISIONAL CALENDAR</w:t>
      </w:r>
      <w:r w:rsidRPr="004604E2">
        <w:rPr>
          <w:sz w:val="28"/>
          <w:lang w:val="en-US"/>
        </w:rPr>
        <w:t xml:space="preserve"> </w:t>
      </w:r>
    </w:p>
    <w:p w14:paraId="79A3ED91" w14:textId="77777777" w:rsidR="00E6518B" w:rsidRPr="004604E2" w:rsidRDefault="00473C7B">
      <w:pPr>
        <w:spacing w:after="188" w:line="249" w:lineRule="auto"/>
        <w:ind w:left="355"/>
        <w:jc w:val="left"/>
        <w:rPr>
          <w:lang w:val="en-US"/>
        </w:rPr>
      </w:pPr>
      <w:r w:rsidRPr="004604E2">
        <w:rPr>
          <w:b/>
          <w:lang w:val="en-US"/>
        </w:rPr>
        <w:t>13. Provisional contract start date</w:t>
      </w:r>
      <w:r w:rsidRPr="004604E2">
        <w:rPr>
          <w:lang w:val="en-US"/>
        </w:rPr>
        <w:t xml:space="preserve"> </w:t>
      </w:r>
    </w:p>
    <w:p w14:paraId="20DDDC46" w14:textId="57C7FC45" w:rsidR="00E6518B" w:rsidRPr="004604E2" w:rsidRDefault="00473C7B">
      <w:pPr>
        <w:spacing w:after="189" w:line="249" w:lineRule="auto"/>
        <w:ind w:left="355"/>
        <w:jc w:val="left"/>
        <w:rPr>
          <w:lang w:val="en-US"/>
        </w:rPr>
      </w:pPr>
      <w:r w:rsidRPr="004604E2">
        <w:rPr>
          <w:lang w:val="en-US"/>
        </w:rPr>
        <w:t>Date: August 10, 2026</w:t>
      </w:r>
      <w:r w:rsidRPr="004604E2">
        <w:rPr>
          <w:i/>
          <w:lang w:val="en-US"/>
        </w:rPr>
        <w:t xml:space="preserve"> </w:t>
      </w:r>
    </w:p>
    <w:p w14:paraId="7A5821FF" w14:textId="50C45A19" w:rsidR="00E6518B" w:rsidRPr="004604E2" w:rsidRDefault="00473C7B">
      <w:pPr>
        <w:pStyle w:val="3"/>
        <w:spacing w:after="0" w:line="423" w:lineRule="auto"/>
        <w:ind w:left="355" w:right="4997"/>
        <w:rPr>
          <w:lang w:val="en-US"/>
        </w:rPr>
      </w:pPr>
      <w:r w:rsidRPr="004604E2">
        <w:rPr>
          <w:lang w:val="en-US"/>
        </w:rPr>
        <w:lastRenderedPageBreak/>
        <w:t xml:space="preserve">14. Task execution period </w:t>
      </w:r>
      <w:r w:rsidRPr="004604E2">
        <w:rPr>
          <w:b w:val="0"/>
          <w:lang w:val="en-US"/>
        </w:rPr>
        <w:t>August-November 2026</w:t>
      </w:r>
      <w:r w:rsidRPr="004604E2">
        <w:rPr>
          <w:b w:val="0"/>
          <w:i/>
          <w:lang w:val="en-US"/>
        </w:rPr>
        <w:t xml:space="preserve"> </w:t>
      </w:r>
    </w:p>
    <w:p w14:paraId="221D3929" w14:textId="77777777" w:rsidR="00E6518B" w:rsidRDefault="00473C7B">
      <w:pPr>
        <w:spacing w:after="237" w:line="259" w:lineRule="auto"/>
        <w:ind w:left="0" w:firstLine="0"/>
        <w:jc w:val="left"/>
      </w:pPr>
      <w:r w:rsidRPr="004604E2">
        <w:rPr>
          <w:lang w:val="en-US"/>
        </w:rPr>
        <w:t xml:space="preserve"> </w:t>
      </w:r>
      <w:r>
        <w:rPr>
          <w:rFonts w:ascii="Calibri" w:eastAsia="Calibri" w:hAnsi="Calibri" w:cs="Calibri"/>
          <w:noProof/>
          <w:lang w:val="en-US" w:eastAsia="en-US"/>
        </w:rPr>
        <mc:AlternateContent>
          <mc:Choice Requires="wpg">
            <w:drawing>
              <wp:inline distT="0" distB="0" distL="0" distR="0" wp14:anchorId="5CD48A82" wp14:editId="60D288AC">
                <wp:extent cx="5943601" cy="24511"/>
                <wp:effectExtent l="0" t="0" r="0" b="0"/>
                <wp:docPr id="5227" name="Group 5227"/>
                <wp:cNvGraphicFramePr/>
                <a:graphic xmlns:a="http://schemas.openxmlformats.org/drawingml/2006/main">
                  <a:graphicData uri="http://schemas.microsoft.com/office/word/2010/wordprocessingGroup">
                    <wpg:wgp>
                      <wpg:cNvGrpSpPr/>
                      <wpg:grpSpPr>
                        <a:xfrm>
                          <a:off x="0" y="0"/>
                          <a:ext cx="5943601" cy="24511"/>
                          <a:chOff x="0" y="0"/>
                          <a:chExt cx="5943601" cy="24511"/>
                        </a:xfrm>
                      </wpg:grpSpPr>
                      <wps:wsp>
                        <wps:cNvPr id="415" name="Shape 415"/>
                        <wps:cNvSpPr/>
                        <wps:spPr>
                          <a:xfrm>
                            <a:off x="0" y="0"/>
                            <a:ext cx="5943601" cy="22860"/>
                          </a:xfrm>
                          <a:custGeom>
                            <a:avLst/>
                            <a:gdLst/>
                            <a:ahLst/>
                            <a:cxnLst/>
                            <a:rect l="0" t="0" r="0" b="0"/>
                            <a:pathLst>
                              <a:path w="5943601" h="22860">
                                <a:moveTo>
                                  <a:pt x="0" y="0"/>
                                </a:moveTo>
                                <a:lnTo>
                                  <a:pt x="5943601" y="635"/>
                                </a:lnTo>
                                <a:lnTo>
                                  <a:pt x="5943601" y="22860"/>
                                </a:lnTo>
                                <a:lnTo>
                                  <a:pt x="0" y="22225"/>
                                </a:lnTo>
                                <a:lnTo>
                                  <a:pt x="0" y="0"/>
                                </a:lnTo>
                                <a:close/>
                              </a:path>
                            </a:pathLst>
                          </a:custGeom>
                          <a:ln w="0" cap="flat">
                            <a:round/>
                          </a:ln>
                        </wps:spPr>
                        <wps:style>
                          <a:lnRef idx="0">
                            <a:srgbClr val="000000">
                              <a:alpha val="0"/>
                            </a:srgbClr>
                          </a:lnRef>
                          <a:fillRef idx="1">
                            <a:srgbClr val="808080"/>
                          </a:fillRef>
                          <a:effectRef idx="0">
                            <a:scrgbClr r="0" g="0" b="0"/>
                          </a:effectRef>
                          <a:fontRef idx="none"/>
                        </wps:style>
                        <wps:bodyPr/>
                      </wps:wsp>
                      <wps:wsp>
                        <wps:cNvPr id="416" name="Shape 416"/>
                        <wps:cNvSpPr/>
                        <wps:spPr>
                          <a:xfrm>
                            <a:off x="0" y="23876"/>
                            <a:ext cx="5943601" cy="635"/>
                          </a:xfrm>
                          <a:custGeom>
                            <a:avLst/>
                            <a:gdLst/>
                            <a:ahLst/>
                            <a:cxnLst/>
                            <a:rect l="0" t="0" r="0" b="0"/>
                            <a:pathLst>
                              <a:path w="5943601" h="635">
                                <a:moveTo>
                                  <a:pt x="0" y="0"/>
                                </a:moveTo>
                                <a:lnTo>
                                  <a:pt x="5943601" y="635"/>
                                </a:lnTo>
                              </a:path>
                            </a:pathLst>
                          </a:custGeom>
                          <a:ln w="22225" cap="flat">
                            <a:round/>
                          </a:ln>
                        </wps:spPr>
                        <wps:style>
                          <a:lnRef idx="1">
                            <a:srgbClr val="D4D4D4"/>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w:pict>
              <v:group id="Group 5227" style="width:468pt;height:1.92999pt;mso-position-horizontal-relative:char;mso-position-vertical-relative:line" coordsize="59436,245">
                <v:shape id="Shape 415" style="position:absolute;width:59436;height:228;left:0;top:0;" coordsize="5943601,22860" path="m0,0l5943601,635l5943601,22860l0,22225l0,0x">
                  <v:stroke weight="0pt" endcap="flat" joinstyle="round" on="false" color="#000000" opacity="0"/>
                  <v:fill on="true" color="#808080"/>
                </v:shape>
                <v:shape id="Shape 416" style="position:absolute;width:59436;height:6;left:0;top:238;" coordsize="5943601,635" path="m0,0l5943601,635">
                  <v:stroke weight="1.75pt" endcap="flat" joinstyle="round" on="true" color="#d4d4d4"/>
                  <v:fill on="false" color="#000000" opacity="0"/>
                </v:shape>
              </v:group>
            </w:pict>
          </mc:Fallback>
        </mc:AlternateContent>
      </w:r>
    </w:p>
    <w:p w14:paraId="5626A7BE" w14:textId="77777777" w:rsidR="00E6518B" w:rsidRPr="004604E2" w:rsidRDefault="00473C7B">
      <w:pPr>
        <w:pStyle w:val="1"/>
        <w:ind w:right="11"/>
        <w:rPr>
          <w:lang w:val="en-US"/>
        </w:rPr>
      </w:pPr>
      <w:r w:rsidRPr="004604E2">
        <w:rPr>
          <w:lang w:val="en-US"/>
        </w:rPr>
        <w:t>SELECTION AND AWARD CRITERIA</w:t>
      </w:r>
      <w:r w:rsidRPr="004604E2">
        <w:rPr>
          <w:b w:val="0"/>
          <w:lang w:val="en-US"/>
        </w:rPr>
        <w:t xml:space="preserve"> </w:t>
      </w:r>
    </w:p>
    <w:p w14:paraId="23FE19AA" w14:textId="77777777" w:rsidR="00E6518B" w:rsidRPr="00890FFA" w:rsidRDefault="00473C7B">
      <w:pPr>
        <w:spacing w:after="311" w:line="263" w:lineRule="auto"/>
        <w:ind w:left="355"/>
        <w:jc w:val="left"/>
        <w:rPr>
          <w:lang w:val="en-US"/>
        </w:rPr>
      </w:pPr>
      <w:r w:rsidRPr="004604E2">
        <w:rPr>
          <w:b/>
          <w:lang w:val="en-US"/>
        </w:rPr>
        <w:t>15. Selection criteria</w:t>
      </w:r>
    </w:p>
    <w:p w14:paraId="662B48FA" w14:textId="77777777" w:rsidR="00E6518B" w:rsidRPr="004604E2" w:rsidRDefault="00473C7B">
      <w:pPr>
        <w:pStyle w:val="2"/>
        <w:spacing w:after="219" w:line="259" w:lineRule="auto"/>
        <w:ind w:left="428" w:firstLine="0"/>
        <w:rPr>
          <w:lang w:val="en-US"/>
        </w:rPr>
      </w:pPr>
      <w:r w:rsidRPr="004604E2">
        <w:rPr>
          <w:b w:val="0"/>
          <w:u w:val="single" w:color="000000"/>
          <w:lang w:val="en-US"/>
        </w:rPr>
        <w:t>Capacity providing entities</w:t>
      </w:r>
      <w:r w:rsidRPr="004604E2">
        <w:rPr>
          <w:b w:val="0"/>
          <w:lang w:val="en-US"/>
        </w:rPr>
        <w:t xml:space="preserve"> </w:t>
      </w:r>
    </w:p>
    <w:p w14:paraId="259B7DD5" w14:textId="77777777" w:rsidR="00E6518B" w:rsidRPr="004604E2" w:rsidRDefault="00473C7B">
      <w:pPr>
        <w:spacing w:after="227"/>
        <w:ind w:left="355"/>
        <w:rPr>
          <w:lang w:val="en-US"/>
        </w:rPr>
      </w:pPr>
      <w:r w:rsidRPr="004604E2">
        <w:rPr>
          <w:lang w:val="en-US"/>
        </w:rPr>
        <w:t xml:space="preserve">An economic operator (e.g. a candidate or a tenderer) may, where appropriate and for a given contract, rely on the capacities of other entities, regardless of the legal nature of the links it has with them. Where the economic operator relies on other entities, it must demonstrate to the contracting authority that it will have the resources necessary to perform the contract, by presenting an undertaking from those entities to make these resources available. These entities, for example the parent company of the economic operator, must comply with the same eligibility conditions and meet the selection criteria as the economic operator relying on them. </w:t>
      </w:r>
      <w:r w:rsidRPr="004604E2">
        <w:rPr>
          <w:b/>
          <w:lang w:val="en-US"/>
        </w:rPr>
        <w:t xml:space="preserve">In addition, the data relating to this third entity for the relevant selection criterion must be included in a separate document. </w:t>
      </w:r>
      <w:r w:rsidRPr="004604E2">
        <w:rPr>
          <w:lang w:val="en-US"/>
        </w:rPr>
        <w:t>Proof of capacity will also have to be provided at the request of the contracting authority.</w:t>
      </w:r>
    </w:p>
    <w:p w14:paraId="59371424" w14:textId="77777777" w:rsidR="00E6518B" w:rsidRPr="004604E2" w:rsidRDefault="00473C7B">
      <w:pPr>
        <w:spacing w:after="193"/>
        <w:ind w:left="355"/>
        <w:rPr>
          <w:lang w:val="en-US"/>
        </w:rPr>
      </w:pPr>
      <w:r w:rsidRPr="004604E2">
        <w:rPr>
          <w:lang w:val="en-US"/>
        </w:rPr>
        <w:t>As regards technical and professional criteria, an economic operator may rely on the capacities of other entities only if the latter will perform the tasks for which those capacities are required.</w:t>
      </w:r>
    </w:p>
    <w:p w14:paraId="310C9906" w14:textId="77777777" w:rsidR="00E6518B" w:rsidRPr="00890FFA" w:rsidRDefault="00473C7B">
      <w:pPr>
        <w:spacing w:after="39" w:line="259" w:lineRule="auto"/>
        <w:ind w:left="0" w:firstLine="0"/>
        <w:jc w:val="left"/>
        <w:rPr>
          <w:lang w:val="en-US"/>
        </w:rPr>
      </w:pPr>
      <w:r>
        <w:rPr>
          <w:rFonts w:ascii="Calibri" w:eastAsia="Calibri" w:hAnsi="Calibri" w:cs="Calibri"/>
          <w:noProof/>
          <w:lang w:val="en-US" w:eastAsia="en-US"/>
        </w:rPr>
        <mc:AlternateContent>
          <mc:Choice Requires="wpg">
            <w:drawing>
              <wp:inline distT="0" distB="0" distL="0" distR="0" wp14:anchorId="07D21A76" wp14:editId="224DCA88">
                <wp:extent cx="1829689" cy="6096"/>
                <wp:effectExtent l="0" t="0" r="0" b="0"/>
                <wp:docPr id="5225" name="Group 5225"/>
                <wp:cNvGraphicFramePr/>
                <a:graphic xmlns:a="http://schemas.openxmlformats.org/drawingml/2006/main">
                  <a:graphicData uri="http://schemas.microsoft.com/office/word/2010/wordprocessingGroup">
                    <wpg:wgp>
                      <wpg:cNvGrpSpPr/>
                      <wpg:grpSpPr>
                        <a:xfrm>
                          <a:off x="0" y="0"/>
                          <a:ext cx="1829689" cy="6096"/>
                          <a:chOff x="0" y="0"/>
                          <a:chExt cx="1829689" cy="6096"/>
                        </a:xfrm>
                      </wpg:grpSpPr>
                      <wps:wsp>
                        <wps:cNvPr id="6042" name="Shape 6042"/>
                        <wps:cNvSpPr/>
                        <wps:spPr>
                          <a:xfrm>
                            <a:off x="0" y="0"/>
                            <a:ext cx="1829689" cy="9144"/>
                          </a:xfrm>
                          <a:custGeom>
                            <a:avLst/>
                            <a:gdLst/>
                            <a:ahLst/>
                            <a:cxnLst/>
                            <a:rect l="0" t="0" r="0" b="0"/>
                            <a:pathLst>
                              <a:path w="1829689" h="9144">
                                <a:moveTo>
                                  <a:pt x="0" y="0"/>
                                </a:moveTo>
                                <a:lnTo>
                                  <a:pt x="1829689" y="0"/>
                                </a:lnTo>
                                <a:lnTo>
                                  <a:pt x="182968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w:pict>
              <v:group id="Group 5225" style="width:144.07pt;height:0.47998pt;mso-position-horizontal-relative:char;mso-position-vertical-relative:line" coordsize="18296,60">
                <v:shape id="Shape 6043" style="position:absolute;width:18296;height:91;left:0;top:0;" coordsize="1829689,9144" path="m0,0l1829689,0l1829689,9144l0,9144l0,0">
                  <v:stroke weight="0pt" endcap="flat" joinstyle="miter" miterlimit="10" on="false" color="#000000" opacity="0"/>
                  <v:fill on="true" color="#000000"/>
                </v:shape>
              </v:group>
            </w:pict>
          </mc:Fallback>
        </mc:AlternateContent>
      </w:r>
      <w:r w:rsidRPr="00890FFA">
        <w:rPr>
          <w:sz w:val="24"/>
          <w:lang w:val="en-US"/>
        </w:rPr>
        <w:t xml:space="preserve"> </w:t>
      </w:r>
    </w:p>
    <w:p w14:paraId="4B573CE4" w14:textId="77777777" w:rsidR="00E6518B" w:rsidRPr="004604E2" w:rsidRDefault="00473C7B">
      <w:pPr>
        <w:spacing w:after="0" w:line="259" w:lineRule="auto"/>
        <w:ind w:left="0" w:firstLine="0"/>
        <w:jc w:val="left"/>
        <w:rPr>
          <w:lang w:val="en-US"/>
        </w:rPr>
      </w:pPr>
      <w:r w:rsidRPr="004604E2">
        <w:rPr>
          <w:sz w:val="20"/>
          <w:vertAlign w:val="superscript"/>
          <w:lang w:val="en-US"/>
        </w:rPr>
        <w:t xml:space="preserve">1 </w:t>
      </w:r>
      <w:r w:rsidRPr="004604E2">
        <w:rPr>
          <w:sz w:val="20"/>
          <w:lang w:val="en-US"/>
        </w:rPr>
        <w:t>For partners in partner countries</w:t>
      </w:r>
    </w:p>
    <w:p w14:paraId="6CC7DC21" w14:textId="77777777" w:rsidR="00E6518B" w:rsidRPr="004604E2" w:rsidRDefault="00473C7B">
      <w:pPr>
        <w:ind w:left="355"/>
        <w:rPr>
          <w:lang w:val="en-US"/>
        </w:rPr>
      </w:pPr>
      <w:r w:rsidRPr="004604E2">
        <w:rPr>
          <w:lang w:val="en-US"/>
        </w:rPr>
        <w:t>As regards the economic and financial criteria, the entities on whose capacity the economic operator relies become jointly and severally liable for the performance of the contract.</w:t>
      </w:r>
    </w:p>
    <w:p w14:paraId="4A54CE01" w14:textId="77777777" w:rsidR="00E6518B" w:rsidRPr="004604E2" w:rsidRDefault="00473C7B">
      <w:pPr>
        <w:spacing w:after="199"/>
        <w:ind w:left="355" w:right="363"/>
        <w:rPr>
          <w:lang w:val="en-US"/>
        </w:rPr>
      </w:pPr>
      <w:r w:rsidRPr="004604E2">
        <w:rPr>
          <w:lang w:val="en-US"/>
        </w:rPr>
        <w:t>The following selection criteria will be applied to tenderers. In the case of tenders submitted by a consortium, these selection criteria will apply to the consortium as a whole, unless otherwise specified. The selection criteria will not apply to individuals and single-member companies when they are subcontractors.</w:t>
      </w:r>
    </w:p>
    <w:p w14:paraId="326FEB7C" w14:textId="77777777" w:rsidR="00E6518B" w:rsidRPr="004604E2" w:rsidRDefault="00473C7B">
      <w:pPr>
        <w:numPr>
          <w:ilvl w:val="0"/>
          <w:numId w:val="2"/>
        </w:numPr>
        <w:spacing w:after="189"/>
        <w:ind w:right="356" w:hanging="361"/>
        <w:rPr>
          <w:lang w:val="en-US"/>
        </w:rPr>
      </w:pPr>
      <w:r w:rsidRPr="004604E2">
        <w:rPr>
          <w:b/>
          <w:u w:val="single" w:color="000000"/>
          <w:lang w:val="en-US"/>
        </w:rPr>
        <w:t xml:space="preserve">The economic and financial capacity of the tenderer </w:t>
      </w:r>
      <w:r w:rsidRPr="004604E2">
        <w:rPr>
          <w:b/>
          <w:lang w:val="en-US"/>
        </w:rPr>
        <w:t xml:space="preserve">( </w:t>
      </w:r>
      <w:r w:rsidRPr="004604E2">
        <w:rPr>
          <w:lang w:val="en-US"/>
        </w:rPr>
        <w:t>based on point 3 of the tender form). If the tenderer is a public body, equivalent information must be provided. The reference period to be taken into account will be the last three financial years for which the financial statements have been closed.</w:t>
      </w:r>
    </w:p>
    <w:p w14:paraId="0AA9B5D6" w14:textId="77777777" w:rsidR="00E6518B" w:rsidRPr="004604E2" w:rsidRDefault="00473C7B">
      <w:pPr>
        <w:spacing w:after="82" w:line="259" w:lineRule="auto"/>
        <w:ind w:left="355" w:firstLine="0"/>
        <w:jc w:val="left"/>
        <w:rPr>
          <w:lang w:val="en-US"/>
        </w:rPr>
      </w:pPr>
      <w:r w:rsidRPr="004604E2">
        <w:rPr>
          <w:shd w:val="clear" w:color="auto" w:fill="D3D3D3"/>
          <w:lang w:val="en-US"/>
        </w:rPr>
        <w:t>The selection criteria for each bidder are as follows:</w:t>
      </w:r>
      <w:r w:rsidRPr="004604E2">
        <w:rPr>
          <w:lang w:val="en-US"/>
        </w:rPr>
        <w:t xml:space="preserve"> </w:t>
      </w:r>
    </w:p>
    <w:p w14:paraId="2BB198A7" w14:textId="77777777" w:rsidR="00E6518B" w:rsidRPr="004604E2" w:rsidRDefault="00473C7B">
      <w:pPr>
        <w:numPr>
          <w:ilvl w:val="1"/>
          <w:numId w:val="2"/>
        </w:numPr>
        <w:spacing w:after="200" w:line="239" w:lineRule="auto"/>
        <w:ind w:hanging="360"/>
        <w:rPr>
          <w:lang w:val="en-US"/>
        </w:rPr>
      </w:pPr>
      <w:r w:rsidRPr="004604E2">
        <w:rPr>
          <w:lang w:val="en-US"/>
        </w:rPr>
        <w:t>the tenderer's average annual turnover must exceed the maximum annualized budget of the contract, namely the maximum budget indicated in the tender notice divided by the initial duration of the contract expressed in years, if it exceeds 1 year.</w:t>
      </w:r>
    </w:p>
    <w:p w14:paraId="573A0433" w14:textId="77777777" w:rsidR="00E6518B" w:rsidRPr="004604E2" w:rsidRDefault="00473C7B">
      <w:pPr>
        <w:numPr>
          <w:ilvl w:val="0"/>
          <w:numId w:val="2"/>
        </w:numPr>
        <w:spacing w:after="189" w:line="249" w:lineRule="auto"/>
        <w:ind w:right="356" w:hanging="361"/>
        <w:rPr>
          <w:lang w:val="en-US"/>
        </w:rPr>
      </w:pPr>
      <w:r w:rsidRPr="004604E2">
        <w:rPr>
          <w:b/>
          <w:u w:val="single" w:color="000000"/>
          <w:lang w:val="en-US"/>
        </w:rPr>
        <w:t xml:space="preserve">The bidder's professional capacity ( </w:t>
      </w:r>
      <w:r w:rsidRPr="004604E2">
        <w:rPr>
          <w:lang w:val="en-US"/>
        </w:rPr>
        <w:t>based on point 4 of the bid form).</w:t>
      </w:r>
    </w:p>
    <w:p w14:paraId="67C007F2" w14:textId="77777777" w:rsidR="00E6518B" w:rsidRPr="004604E2" w:rsidRDefault="00473C7B">
      <w:pPr>
        <w:ind w:left="355"/>
        <w:rPr>
          <w:lang w:val="en-US"/>
        </w:rPr>
      </w:pPr>
      <w:r w:rsidRPr="004604E2">
        <w:rPr>
          <w:lang w:val="en-US"/>
        </w:rPr>
        <w:t>The reference period to be taken into account will be the last three years preceding the deadline for submission of tenders.</w:t>
      </w:r>
    </w:p>
    <w:p w14:paraId="4CFDAC93" w14:textId="77777777" w:rsidR="00E6518B" w:rsidRDefault="00473C7B">
      <w:pPr>
        <w:numPr>
          <w:ilvl w:val="1"/>
          <w:numId w:val="2"/>
        </w:numPr>
        <w:ind w:hanging="360"/>
      </w:pPr>
      <w:r>
        <w:t>benchmark:</w:t>
      </w:r>
    </w:p>
    <w:p w14:paraId="3AD25F31" w14:textId="77777777" w:rsidR="00E6518B" w:rsidRDefault="00473C7B">
      <w:pPr>
        <w:ind w:left="1091"/>
      </w:pPr>
      <w:r>
        <w:t>Human resources and technical skills</w:t>
      </w:r>
    </w:p>
    <w:p w14:paraId="339AA1D5" w14:textId="77777777" w:rsidR="00E6518B" w:rsidRPr="004604E2" w:rsidRDefault="00473C7B">
      <w:pPr>
        <w:ind w:left="1091" w:right="124"/>
        <w:rPr>
          <w:lang w:val="en-US"/>
        </w:rPr>
      </w:pPr>
      <w:r w:rsidRPr="004604E2">
        <w:rPr>
          <w:lang w:val="en-US"/>
        </w:rPr>
        <w:t>Responsible technical team (automotive engineer/technician, project manager), with CVs attesting to relevant experience and specialized certifications.</w:t>
      </w:r>
    </w:p>
    <w:p w14:paraId="4E3F49B6" w14:textId="77777777" w:rsidR="00E6518B" w:rsidRPr="004604E2" w:rsidRDefault="00473C7B">
      <w:pPr>
        <w:ind w:left="1091"/>
        <w:rPr>
          <w:lang w:val="en-US"/>
        </w:rPr>
      </w:pPr>
      <w:r w:rsidRPr="004604E2">
        <w:rPr>
          <w:lang w:val="en-US"/>
        </w:rPr>
        <w:lastRenderedPageBreak/>
        <w:t>Assembly/equipment capacity (if the vehicle requires additional equipment) and qualified personnel for testing and commissioning.</w:t>
      </w:r>
    </w:p>
    <w:p w14:paraId="6CFBA315" w14:textId="77777777" w:rsidR="00E6518B" w:rsidRDefault="00473C7B">
      <w:pPr>
        <w:numPr>
          <w:ilvl w:val="1"/>
          <w:numId w:val="2"/>
        </w:numPr>
        <w:ind w:hanging="360"/>
      </w:pPr>
      <w:r>
        <w:t>benchmark:</w:t>
      </w:r>
    </w:p>
    <w:p w14:paraId="0CAC3FEA" w14:textId="77777777" w:rsidR="00E6518B" w:rsidRDefault="00473C7B">
      <w:pPr>
        <w:ind w:left="1091"/>
      </w:pPr>
      <w:r>
        <w:t>Logistical and technical capacity</w:t>
      </w:r>
    </w:p>
    <w:p w14:paraId="471C9B0C" w14:textId="77777777" w:rsidR="00E6518B" w:rsidRPr="004604E2" w:rsidRDefault="00473C7B">
      <w:pPr>
        <w:ind w:left="1091"/>
        <w:rPr>
          <w:lang w:val="en-US"/>
        </w:rPr>
      </w:pPr>
      <w:r w:rsidRPr="004604E2">
        <w:rPr>
          <w:lang w:val="en-US"/>
        </w:rPr>
        <w:t>Description of own facilities: authorized service, maintenance workshop, testing stations, spare parts warehouse.</w:t>
      </w:r>
    </w:p>
    <w:p w14:paraId="2F74E730" w14:textId="77777777" w:rsidR="00E6518B" w:rsidRPr="004604E2" w:rsidRDefault="00473C7B">
      <w:pPr>
        <w:spacing w:after="201"/>
        <w:ind w:left="1091"/>
        <w:rPr>
          <w:lang w:val="en-US"/>
        </w:rPr>
      </w:pPr>
      <w:r w:rsidRPr="004604E2">
        <w:rPr>
          <w:lang w:val="en-US"/>
        </w:rPr>
        <w:t>On-time delivery capacity (own fleet or authorized partners, transportation possibilities).</w:t>
      </w:r>
    </w:p>
    <w:p w14:paraId="32D5EF62" w14:textId="77777777" w:rsidR="00E6518B" w:rsidRDefault="00473C7B">
      <w:pPr>
        <w:numPr>
          <w:ilvl w:val="1"/>
          <w:numId w:val="2"/>
        </w:numPr>
        <w:ind w:hanging="360"/>
      </w:pPr>
      <w:r>
        <w:t>benchmark:</w:t>
      </w:r>
    </w:p>
    <w:p w14:paraId="544D5F5D" w14:textId="77777777" w:rsidR="00E6518B" w:rsidRPr="004604E2" w:rsidRDefault="00473C7B">
      <w:pPr>
        <w:ind w:left="1091"/>
        <w:rPr>
          <w:lang w:val="en-US"/>
        </w:rPr>
      </w:pPr>
      <w:r w:rsidRPr="004604E2">
        <w:rPr>
          <w:lang w:val="en-US"/>
        </w:rPr>
        <w:t>Warranties, service and spare parts</w:t>
      </w:r>
    </w:p>
    <w:p w14:paraId="375047AE" w14:textId="77777777" w:rsidR="00E6518B" w:rsidRPr="004604E2" w:rsidRDefault="00473C7B">
      <w:pPr>
        <w:ind w:left="1091"/>
        <w:rPr>
          <w:lang w:val="en-US"/>
        </w:rPr>
      </w:pPr>
      <w:r w:rsidRPr="004604E2">
        <w:rPr>
          <w:lang w:val="en-US"/>
        </w:rPr>
        <w:t>Minimum warranty period for vehicle and critical components.</w:t>
      </w:r>
    </w:p>
    <w:p w14:paraId="1DDAB056" w14:textId="77777777" w:rsidR="00E6518B" w:rsidRPr="004604E2" w:rsidRDefault="00473C7B">
      <w:pPr>
        <w:ind w:left="1091"/>
        <w:rPr>
          <w:lang w:val="en-US"/>
        </w:rPr>
      </w:pPr>
      <w:r w:rsidRPr="004604E2">
        <w:rPr>
          <w:lang w:val="en-US"/>
        </w:rPr>
        <w:t>Post-warranty service offer (revision intervals, support response times, estimated costs).</w:t>
      </w:r>
    </w:p>
    <w:p w14:paraId="69AB89B6" w14:textId="77777777" w:rsidR="00E6518B" w:rsidRPr="004604E2" w:rsidRDefault="00473C7B">
      <w:pPr>
        <w:ind w:left="1091"/>
        <w:rPr>
          <w:lang w:val="en-US"/>
        </w:rPr>
      </w:pPr>
      <w:r w:rsidRPr="004604E2">
        <w:rPr>
          <w:lang w:val="en-US"/>
        </w:rPr>
        <w:t>Ensuring the availability of spare parts (delivery times).</w:t>
      </w:r>
    </w:p>
    <w:p w14:paraId="74CF0D57" w14:textId="77777777" w:rsidR="00E6518B" w:rsidRPr="004604E2" w:rsidRDefault="00473C7B">
      <w:pPr>
        <w:spacing w:after="176" w:line="259" w:lineRule="auto"/>
        <w:ind w:left="721" w:firstLine="0"/>
        <w:jc w:val="left"/>
        <w:rPr>
          <w:lang w:val="en-US"/>
        </w:rPr>
      </w:pPr>
      <w:r w:rsidRPr="004604E2">
        <w:rPr>
          <w:lang w:val="en-US"/>
        </w:rPr>
        <w:t xml:space="preserve"> </w:t>
      </w:r>
    </w:p>
    <w:p w14:paraId="463FB6F8" w14:textId="77777777" w:rsidR="00E6518B" w:rsidRPr="004604E2" w:rsidRDefault="00473C7B">
      <w:pPr>
        <w:numPr>
          <w:ilvl w:val="0"/>
          <w:numId w:val="2"/>
        </w:numPr>
        <w:spacing w:after="189"/>
        <w:ind w:right="356" w:hanging="361"/>
        <w:rPr>
          <w:lang w:val="en-US"/>
        </w:rPr>
      </w:pPr>
      <w:r w:rsidRPr="004604E2">
        <w:rPr>
          <w:b/>
          <w:u w:val="single" w:color="000000"/>
          <w:lang w:val="en-US"/>
        </w:rPr>
        <w:t xml:space="preserve">Technical capacity of the tenderer </w:t>
      </w:r>
      <w:r w:rsidRPr="004604E2">
        <w:rPr>
          <w:lang w:val="en-US"/>
        </w:rPr>
        <w:t>(based on points 5 and 6 of the tender form). The reference period to be taken into account will be a period of three years prior to the deadline for submission of tenders.</w:t>
      </w:r>
    </w:p>
    <w:p w14:paraId="155B2562" w14:textId="77777777" w:rsidR="00E6518B" w:rsidRPr="004604E2" w:rsidRDefault="00473C7B">
      <w:pPr>
        <w:numPr>
          <w:ilvl w:val="1"/>
          <w:numId w:val="2"/>
        </w:numPr>
        <w:spacing w:after="188"/>
        <w:ind w:hanging="360"/>
        <w:rPr>
          <w:lang w:val="en-US"/>
        </w:rPr>
      </w:pPr>
      <w:r w:rsidRPr="004604E2">
        <w:rPr>
          <w:lang w:val="en-US"/>
        </w:rPr>
        <w:t>the tenderer has delivered goods under at least 3 contracts each with a budget at least equal to that of this contract</w:t>
      </w:r>
    </w:p>
    <w:p w14:paraId="64B5D98C" w14:textId="77777777" w:rsidR="00E6518B" w:rsidRPr="004604E2" w:rsidRDefault="00473C7B">
      <w:pPr>
        <w:spacing w:after="200" w:line="239" w:lineRule="auto"/>
        <w:ind w:left="-15" w:right="157" w:firstLine="0"/>
        <w:jc w:val="left"/>
        <w:rPr>
          <w:lang w:val="en-US"/>
        </w:rPr>
      </w:pPr>
      <w:r w:rsidRPr="004604E2">
        <w:rPr>
          <w:lang w:val="en-US"/>
        </w:rPr>
        <w:t>Previous experience that would have led to a breach of contract and its termination by a contracting authority cannot be used as a reference. This also applies to the previous experience of experts requested under a fee-based service contract.</w:t>
      </w:r>
    </w:p>
    <w:p w14:paraId="2F67AB7F" w14:textId="77777777" w:rsidR="00E6518B" w:rsidRPr="004604E2" w:rsidRDefault="00473C7B">
      <w:pPr>
        <w:spacing w:after="178" w:line="259" w:lineRule="auto"/>
        <w:ind w:left="0" w:firstLine="0"/>
        <w:jc w:val="left"/>
        <w:rPr>
          <w:lang w:val="en-US"/>
        </w:rPr>
      </w:pPr>
      <w:r w:rsidRPr="004604E2">
        <w:rPr>
          <w:lang w:val="en-US"/>
        </w:rPr>
        <w:t xml:space="preserve"> </w:t>
      </w:r>
    </w:p>
    <w:p w14:paraId="372B0699" w14:textId="77777777" w:rsidR="00E6518B" w:rsidRPr="004604E2" w:rsidRDefault="00473C7B">
      <w:pPr>
        <w:pStyle w:val="3"/>
        <w:ind w:left="355"/>
        <w:rPr>
          <w:lang w:val="en-US"/>
        </w:rPr>
      </w:pPr>
      <w:r w:rsidRPr="004604E2">
        <w:rPr>
          <w:lang w:val="en-US"/>
        </w:rPr>
        <w:t>16. Award criteria</w:t>
      </w:r>
      <w:r w:rsidRPr="004604E2">
        <w:rPr>
          <w:b w:val="0"/>
          <w:lang w:val="en-US"/>
        </w:rPr>
        <w:t xml:space="preserve"> </w:t>
      </w:r>
    </w:p>
    <w:p w14:paraId="08A8DECC" w14:textId="60213643" w:rsidR="00E6518B" w:rsidRPr="001D601A" w:rsidRDefault="00473C7B">
      <w:pPr>
        <w:spacing w:after="185"/>
        <w:ind w:left="10"/>
        <w:rPr>
          <w:b/>
          <w:bCs/>
          <w:lang w:val="en-US"/>
        </w:rPr>
      </w:pPr>
      <w:r w:rsidRPr="005003B2">
        <w:rPr>
          <w:b/>
          <w:bCs/>
          <w:highlight w:val="yellow"/>
          <w:lang w:val="en-US"/>
        </w:rPr>
        <w:t xml:space="preserve">The contract will be awarded to the offer with the lowest price and compliance with the </w:t>
      </w:r>
      <w:r w:rsidR="001D601A" w:rsidRPr="005003B2">
        <w:rPr>
          <w:b/>
          <w:bCs/>
          <w:highlight w:val="yellow"/>
          <w:lang w:val="en-US"/>
        </w:rPr>
        <w:t>requested technical characteristics.</w:t>
      </w:r>
      <w:r w:rsidRPr="001D601A">
        <w:rPr>
          <w:b/>
          <w:bCs/>
          <w:lang w:val="en-US"/>
        </w:rPr>
        <w:t xml:space="preserve"> </w:t>
      </w:r>
    </w:p>
    <w:p w14:paraId="5177E8F6" w14:textId="77777777" w:rsidR="00E6518B" w:rsidRDefault="00473C7B">
      <w:pPr>
        <w:spacing w:after="232" w:line="259" w:lineRule="auto"/>
        <w:ind w:left="0" w:firstLine="0"/>
        <w:jc w:val="left"/>
      </w:pPr>
      <w:r w:rsidRPr="004604E2">
        <w:rPr>
          <w:lang w:val="en-US"/>
        </w:rPr>
        <w:t xml:space="preserve"> </w:t>
      </w:r>
      <w:r>
        <w:rPr>
          <w:rFonts w:ascii="Calibri" w:eastAsia="Calibri" w:hAnsi="Calibri" w:cs="Calibri"/>
          <w:noProof/>
          <w:lang w:val="en-US" w:eastAsia="en-US"/>
        </w:rPr>
        <mc:AlternateContent>
          <mc:Choice Requires="wpg">
            <w:drawing>
              <wp:inline distT="0" distB="0" distL="0" distR="0" wp14:anchorId="1D5F7696" wp14:editId="72550E4A">
                <wp:extent cx="5943601" cy="24384"/>
                <wp:effectExtent l="0" t="0" r="0" b="0"/>
                <wp:docPr id="5097" name="Group 5097"/>
                <wp:cNvGraphicFramePr/>
                <a:graphic xmlns:a="http://schemas.openxmlformats.org/drawingml/2006/main">
                  <a:graphicData uri="http://schemas.microsoft.com/office/word/2010/wordprocessingGroup">
                    <wpg:wgp>
                      <wpg:cNvGrpSpPr/>
                      <wpg:grpSpPr>
                        <a:xfrm>
                          <a:off x="0" y="0"/>
                          <a:ext cx="5943601" cy="24384"/>
                          <a:chOff x="0" y="0"/>
                          <a:chExt cx="5943601" cy="24384"/>
                        </a:xfrm>
                      </wpg:grpSpPr>
                      <wps:wsp>
                        <wps:cNvPr id="753" name="Shape 753"/>
                        <wps:cNvSpPr/>
                        <wps:spPr>
                          <a:xfrm>
                            <a:off x="0" y="0"/>
                            <a:ext cx="5943601" cy="22860"/>
                          </a:xfrm>
                          <a:custGeom>
                            <a:avLst/>
                            <a:gdLst/>
                            <a:ahLst/>
                            <a:cxnLst/>
                            <a:rect l="0" t="0" r="0" b="0"/>
                            <a:pathLst>
                              <a:path w="5943601" h="22860">
                                <a:moveTo>
                                  <a:pt x="0" y="0"/>
                                </a:moveTo>
                                <a:lnTo>
                                  <a:pt x="5943601" y="635"/>
                                </a:lnTo>
                                <a:lnTo>
                                  <a:pt x="5943601" y="22860"/>
                                </a:lnTo>
                                <a:lnTo>
                                  <a:pt x="0" y="22225"/>
                                </a:lnTo>
                                <a:lnTo>
                                  <a:pt x="0" y="0"/>
                                </a:lnTo>
                                <a:close/>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754" name="Shape 754"/>
                        <wps:cNvSpPr/>
                        <wps:spPr>
                          <a:xfrm>
                            <a:off x="0" y="23749"/>
                            <a:ext cx="5943601" cy="635"/>
                          </a:xfrm>
                          <a:custGeom>
                            <a:avLst/>
                            <a:gdLst/>
                            <a:ahLst/>
                            <a:cxnLst/>
                            <a:rect l="0" t="0" r="0" b="0"/>
                            <a:pathLst>
                              <a:path w="5943601" h="635">
                                <a:moveTo>
                                  <a:pt x="0" y="0"/>
                                </a:moveTo>
                                <a:lnTo>
                                  <a:pt x="5943601" y="635"/>
                                </a:lnTo>
                              </a:path>
                            </a:pathLst>
                          </a:custGeom>
                          <a:ln w="22225" cap="flat">
                            <a:round/>
                          </a:ln>
                        </wps:spPr>
                        <wps:style>
                          <a:lnRef idx="1">
                            <a:srgbClr val="D4D4D4"/>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w:pict>
              <v:group id="Group 5097" style="width:468pt;height:1.91998pt;mso-position-horizontal-relative:char;mso-position-vertical-relative:line" coordsize="59436,243">
                <v:shape id="Shape 753" style="position:absolute;width:59436;height:228;left:0;top:0;" coordsize="5943601,22860" path="m0,0l5943601,635l5943601,22860l0,22225l0,0x">
                  <v:stroke weight="0pt" endcap="flat" joinstyle="miter" miterlimit="10" on="false" color="#000000" opacity="0"/>
                  <v:fill on="true" color="#808080"/>
                </v:shape>
                <v:shape id="Shape 754" style="position:absolute;width:59436;height:6;left:0;top:237;" coordsize="5943601,635" path="m0,0l5943601,635">
                  <v:stroke weight="1.75pt" endcap="flat" joinstyle="round" on="true" color="#d4d4d4"/>
                  <v:fill on="false" color="#000000" opacity="0"/>
                </v:shape>
              </v:group>
            </w:pict>
          </mc:Fallback>
        </mc:AlternateContent>
      </w:r>
    </w:p>
    <w:p w14:paraId="00310FB2" w14:textId="77777777" w:rsidR="00E6518B" w:rsidRPr="004604E2" w:rsidRDefault="00473C7B">
      <w:pPr>
        <w:pStyle w:val="1"/>
        <w:ind w:right="4"/>
        <w:rPr>
          <w:lang w:val="en-US"/>
        </w:rPr>
      </w:pPr>
      <w:r w:rsidRPr="004604E2">
        <w:rPr>
          <w:lang w:val="en-US"/>
        </w:rPr>
        <w:t>PROCUREMENT PROCEDURE</w:t>
      </w:r>
      <w:r w:rsidRPr="004604E2">
        <w:rPr>
          <w:b w:val="0"/>
          <w:lang w:val="en-US"/>
        </w:rPr>
        <w:t xml:space="preserve"> </w:t>
      </w:r>
    </w:p>
    <w:p w14:paraId="7533C979" w14:textId="77777777" w:rsidR="00E6518B" w:rsidRPr="004604E2" w:rsidRDefault="00473C7B">
      <w:pPr>
        <w:spacing w:after="175" w:line="263" w:lineRule="auto"/>
        <w:ind w:left="355"/>
        <w:jc w:val="left"/>
        <w:rPr>
          <w:lang w:val="en-US"/>
        </w:rPr>
      </w:pPr>
      <w:r w:rsidRPr="004604E2">
        <w:rPr>
          <w:b/>
          <w:lang w:val="en-US"/>
        </w:rPr>
        <w:t>17 Deadline for submitting bids</w:t>
      </w:r>
      <w:r w:rsidRPr="004604E2">
        <w:rPr>
          <w:lang w:val="en-US"/>
        </w:rPr>
        <w:t xml:space="preserve"> </w:t>
      </w:r>
    </w:p>
    <w:p w14:paraId="5EC50E6F" w14:textId="0FE6BFCD" w:rsidR="00E6518B" w:rsidRPr="004604E2" w:rsidRDefault="00473C7B">
      <w:pPr>
        <w:spacing w:after="189" w:line="249" w:lineRule="auto"/>
        <w:ind w:left="355"/>
        <w:jc w:val="left"/>
        <w:rPr>
          <w:lang w:val="en-US"/>
        </w:rPr>
      </w:pPr>
      <w:r w:rsidRPr="004604E2">
        <w:rPr>
          <w:lang w:val="en-US"/>
        </w:rPr>
        <w:t xml:space="preserve">The deadline for submitting bids is July 25, </w:t>
      </w:r>
      <w:r w:rsidR="001D601A">
        <w:rPr>
          <w:lang w:val="en-US"/>
        </w:rPr>
        <w:t>2026.</w:t>
      </w:r>
      <w:r w:rsidRPr="004604E2">
        <w:rPr>
          <w:i/>
          <w:lang w:val="en-US"/>
        </w:rPr>
        <w:t xml:space="preserve"> </w:t>
      </w:r>
    </w:p>
    <w:p w14:paraId="48C79AB4" w14:textId="77777777" w:rsidR="00E6518B" w:rsidRPr="004604E2" w:rsidRDefault="00473C7B">
      <w:pPr>
        <w:pStyle w:val="2"/>
        <w:spacing w:after="71" w:line="263" w:lineRule="auto"/>
        <w:ind w:left="355"/>
        <w:rPr>
          <w:lang w:val="en-US"/>
        </w:rPr>
      </w:pPr>
      <w:r w:rsidRPr="004604E2">
        <w:rPr>
          <w:lang w:val="en-US"/>
        </w:rPr>
        <w:t>18. Offer format and details to be provided</w:t>
      </w:r>
      <w:r w:rsidRPr="004604E2">
        <w:rPr>
          <w:b w:val="0"/>
          <w:lang w:val="en-US"/>
        </w:rPr>
        <w:t xml:space="preserve"> </w:t>
      </w:r>
    </w:p>
    <w:p w14:paraId="2C86D830" w14:textId="77777777" w:rsidR="00E6518B" w:rsidRPr="004604E2" w:rsidRDefault="00473C7B">
      <w:pPr>
        <w:spacing w:after="9" w:line="249" w:lineRule="auto"/>
        <w:ind w:left="355"/>
        <w:jc w:val="left"/>
        <w:rPr>
          <w:lang w:val="en-US"/>
        </w:rPr>
      </w:pPr>
      <w:r w:rsidRPr="004604E2">
        <w:rPr>
          <w:lang w:val="en-US"/>
        </w:rPr>
        <w:t>Bids must be submitted using the standard bid form.</w:t>
      </w:r>
    </w:p>
    <w:p w14:paraId="4C207963" w14:textId="77777777" w:rsidR="00E6518B" w:rsidRPr="004604E2" w:rsidRDefault="00473C7B">
      <w:pPr>
        <w:spacing w:after="0"/>
        <w:ind w:left="355"/>
        <w:rPr>
          <w:lang w:val="en-US"/>
        </w:rPr>
      </w:pPr>
      <w:r w:rsidRPr="004604E2">
        <w:rPr>
          <w:lang w:val="en-US"/>
        </w:rPr>
        <w:t>The tender must be accompanied by a declaration on its own responsibility regarding the exclusion and selection criteria (form G3).</w:t>
      </w:r>
    </w:p>
    <w:p w14:paraId="14DD9D8A" w14:textId="77777777" w:rsidR="00E6518B" w:rsidRPr="004604E2" w:rsidRDefault="00473C7B">
      <w:pPr>
        <w:ind w:left="355"/>
        <w:rPr>
          <w:lang w:val="en-US"/>
        </w:rPr>
      </w:pPr>
      <w:r w:rsidRPr="004604E2">
        <w:rPr>
          <w:lang w:val="en-US"/>
        </w:rPr>
        <w:t>Any additional documentation (brochure, letter, etc.) uploaded with a bid will not be considered.</w:t>
      </w:r>
    </w:p>
    <w:p w14:paraId="14F1710E" w14:textId="77777777" w:rsidR="00E6518B" w:rsidRPr="004604E2" w:rsidRDefault="00473C7B">
      <w:pPr>
        <w:pStyle w:val="2"/>
        <w:ind w:left="355"/>
        <w:rPr>
          <w:lang w:val="en-US"/>
        </w:rPr>
      </w:pPr>
      <w:r w:rsidRPr="004604E2">
        <w:rPr>
          <w:lang w:val="en-US"/>
        </w:rPr>
        <w:t>19. How to submit offers</w:t>
      </w:r>
      <w:r w:rsidRPr="004604E2">
        <w:rPr>
          <w:b w:val="0"/>
          <w:lang w:val="en-US"/>
        </w:rPr>
        <w:t xml:space="preserve"> </w:t>
      </w:r>
    </w:p>
    <w:p w14:paraId="0D8AE93A" w14:textId="0B72994C" w:rsidR="00E6518B" w:rsidRPr="004604E2" w:rsidRDefault="00473C7B">
      <w:pPr>
        <w:spacing w:after="189" w:line="249" w:lineRule="auto"/>
        <w:ind w:left="355"/>
        <w:jc w:val="left"/>
        <w:rPr>
          <w:lang w:val="en-US"/>
        </w:rPr>
      </w:pPr>
      <w:r w:rsidRPr="004604E2">
        <w:rPr>
          <w:lang w:val="en-US"/>
        </w:rPr>
        <w:t xml:space="preserve">Tenders must be submitted exclusively in English </w:t>
      </w:r>
      <w:r w:rsidR="001D601A">
        <w:rPr>
          <w:lang w:val="en-US"/>
        </w:rPr>
        <w:t xml:space="preserve">to </w:t>
      </w:r>
      <w:r w:rsidRPr="004604E2">
        <w:rPr>
          <w:lang w:val="en-US"/>
        </w:rPr>
        <w:t>the contracting authority, using the means specified in point 9 of the instructions to tenderers.</w:t>
      </w:r>
    </w:p>
    <w:p w14:paraId="2521FFF5" w14:textId="77777777" w:rsidR="00E6518B" w:rsidRPr="004604E2" w:rsidRDefault="00473C7B">
      <w:pPr>
        <w:spacing w:after="189" w:line="249" w:lineRule="auto"/>
        <w:ind w:left="355"/>
        <w:jc w:val="left"/>
        <w:rPr>
          <w:lang w:val="en-US"/>
        </w:rPr>
      </w:pPr>
      <w:r w:rsidRPr="004604E2">
        <w:rPr>
          <w:lang w:val="en-US"/>
        </w:rPr>
        <w:lastRenderedPageBreak/>
        <w:t>Bids submitted by any other means will not be considered.</w:t>
      </w:r>
    </w:p>
    <w:p w14:paraId="24652216" w14:textId="77777777" w:rsidR="00E6518B" w:rsidRPr="004604E2" w:rsidRDefault="00473C7B">
      <w:pPr>
        <w:spacing w:after="194"/>
        <w:ind w:left="355"/>
        <w:rPr>
          <w:lang w:val="en-US"/>
        </w:rPr>
      </w:pPr>
      <w:r w:rsidRPr="004604E2">
        <w:rPr>
          <w:lang w:val="en-US"/>
        </w:rPr>
        <w:t>By submitting a bid, bidders agree to receive notification of the outcome of the procedure by electronic means.</w:t>
      </w:r>
    </w:p>
    <w:p w14:paraId="56D975CA" w14:textId="77777777" w:rsidR="00E6518B" w:rsidRPr="004604E2" w:rsidRDefault="00473C7B">
      <w:pPr>
        <w:pStyle w:val="2"/>
        <w:spacing w:after="84"/>
        <w:ind w:left="355"/>
        <w:rPr>
          <w:lang w:val="en-US"/>
        </w:rPr>
      </w:pPr>
      <w:r w:rsidRPr="004604E2">
        <w:rPr>
          <w:lang w:val="en-US"/>
        </w:rPr>
        <w:t>20. Modification or withdrawal of offers</w:t>
      </w:r>
    </w:p>
    <w:p w14:paraId="6F88B161" w14:textId="77777777" w:rsidR="00E6518B" w:rsidRPr="004604E2" w:rsidRDefault="00473C7B">
      <w:pPr>
        <w:ind w:left="721"/>
        <w:rPr>
          <w:lang w:val="en-US"/>
        </w:rPr>
      </w:pPr>
      <w:r w:rsidRPr="004604E2">
        <w:rPr>
          <w:lang w:val="en-US"/>
        </w:rPr>
        <w:t>Bidders may modify or withdraw their bids by written notice prior to the bid submission deadline. No bid may be modified after this deadline, in accordance with the rules.</w:t>
      </w:r>
      <w:r w:rsidRPr="004604E2">
        <w:rPr>
          <w:color w:val="EE0000"/>
          <w:lang w:val="en-US"/>
        </w:rPr>
        <w:t xml:space="preserve"> </w:t>
      </w:r>
      <w:r w:rsidRPr="004604E2">
        <w:rPr>
          <w:lang w:val="en-US"/>
        </w:rPr>
        <w:t xml:space="preserve">SIA RSAP, </w:t>
      </w:r>
      <w:r w:rsidRPr="004604E2">
        <w:rPr>
          <w:color w:val="0000FF"/>
          <w:u w:val="single" w:color="0000FF"/>
          <w:lang w:val="en-US"/>
        </w:rPr>
        <w:t>achiziții.md,</w:t>
      </w:r>
      <w:r w:rsidRPr="004604E2">
        <w:rPr>
          <w:color w:val="EE0000"/>
          <w:lang w:val="en-US"/>
        </w:rPr>
        <w:t xml:space="preserve"> </w:t>
      </w:r>
    </w:p>
    <w:p w14:paraId="6A09BEC3" w14:textId="77777777" w:rsidR="00E6518B" w:rsidRPr="004604E2" w:rsidRDefault="00473C7B">
      <w:pPr>
        <w:spacing w:after="176"/>
        <w:ind w:left="721"/>
        <w:rPr>
          <w:lang w:val="en-US"/>
        </w:rPr>
      </w:pPr>
      <w:r w:rsidRPr="004604E2">
        <w:rPr>
          <w:lang w:val="en-US"/>
        </w:rPr>
        <w:t>Any such notice of modification or withdrawal must be prepared and transmitted in accordance with the rules</w:t>
      </w:r>
      <w:r w:rsidRPr="004604E2">
        <w:rPr>
          <w:color w:val="EE0000"/>
          <w:lang w:val="en-US"/>
        </w:rPr>
        <w:t xml:space="preserve"> </w:t>
      </w:r>
      <w:r w:rsidRPr="004604E2">
        <w:rPr>
          <w:lang w:val="en-US"/>
        </w:rPr>
        <w:t xml:space="preserve">SIA RSAP, </w:t>
      </w:r>
      <w:r w:rsidRPr="004604E2">
        <w:rPr>
          <w:color w:val="0000FF"/>
          <w:u w:val="single" w:color="0000FF"/>
          <w:lang w:val="en-US"/>
        </w:rPr>
        <w:t xml:space="preserve">achiziții.md, </w:t>
      </w:r>
      <w:r w:rsidRPr="004604E2">
        <w:rPr>
          <w:sz w:val="24"/>
          <w:lang w:val="en-US"/>
        </w:rPr>
        <w:t>indicated in the instruction.</w:t>
      </w:r>
      <w:r w:rsidRPr="004604E2">
        <w:rPr>
          <w:color w:val="EE0000"/>
          <w:lang w:val="en-US"/>
        </w:rPr>
        <w:t xml:space="preserve"> </w:t>
      </w:r>
    </w:p>
    <w:p w14:paraId="12E827AB" w14:textId="77777777" w:rsidR="00E6518B" w:rsidRPr="004604E2" w:rsidRDefault="00473C7B">
      <w:pPr>
        <w:pStyle w:val="2"/>
        <w:ind w:left="355"/>
        <w:rPr>
          <w:lang w:val="en-US"/>
        </w:rPr>
      </w:pPr>
      <w:r w:rsidRPr="004604E2">
        <w:rPr>
          <w:lang w:val="en-US"/>
        </w:rPr>
        <w:t>21. Working language</w:t>
      </w:r>
      <w:r w:rsidRPr="004604E2">
        <w:rPr>
          <w:b w:val="0"/>
          <w:lang w:val="en-US"/>
        </w:rPr>
        <w:t xml:space="preserve"> </w:t>
      </w:r>
    </w:p>
    <w:p w14:paraId="6F468304" w14:textId="77777777" w:rsidR="00E6518B" w:rsidRPr="004604E2" w:rsidRDefault="00473C7B">
      <w:pPr>
        <w:spacing w:after="189"/>
        <w:ind w:left="355"/>
        <w:rPr>
          <w:lang w:val="en-US"/>
        </w:rPr>
      </w:pPr>
      <w:r w:rsidRPr="004604E2">
        <w:rPr>
          <w:lang w:val="en-US"/>
        </w:rPr>
        <w:t>All written communications within this tender procedure and this contract must be written in Romanian.</w:t>
      </w:r>
      <w:r w:rsidRPr="004604E2">
        <w:rPr>
          <w:i/>
          <w:lang w:val="en-US"/>
        </w:rPr>
        <w:t xml:space="preserve"> </w:t>
      </w:r>
    </w:p>
    <w:p w14:paraId="7F1D1D9F" w14:textId="77777777" w:rsidR="00E6518B" w:rsidRPr="004604E2" w:rsidRDefault="00473C7B">
      <w:pPr>
        <w:pStyle w:val="2"/>
        <w:spacing w:after="175" w:line="263" w:lineRule="auto"/>
        <w:ind w:left="355"/>
        <w:rPr>
          <w:lang w:val="en-US"/>
        </w:rPr>
      </w:pPr>
      <w:r w:rsidRPr="004604E2">
        <w:rPr>
          <w:lang w:val="en-US"/>
        </w:rPr>
        <w:t>22. Additional information</w:t>
      </w:r>
    </w:p>
    <w:p w14:paraId="698DAF7D" w14:textId="77777777" w:rsidR="001D6804" w:rsidRDefault="00473C7B">
      <w:pPr>
        <w:ind w:left="293" w:right="361"/>
        <w:rPr>
          <w:lang w:val="en-US"/>
        </w:rPr>
      </w:pPr>
      <w:r w:rsidRPr="004604E2">
        <w:rPr>
          <w:lang w:val="en-US"/>
        </w:rPr>
        <w:t>The financial data to be provided by the candidate in the standard application form must be expressed in EUR. Where applicable, if a candidate refers to amounts originally expressed in another currency, the conversion into EUR shall be carried out in accordance with the official exchange rate of the NBM or euro info.</w:t>
      </w:r>
    </w:p>
    <w:p w14:paraId="76AA82A3" w14:textId="11A686A8" w:rsidR="001D6804" w:rsidRPr="001D6804" w:rsidRDefault="001D6804" w:rsidP="001D6804">
      <w:pPr>
        <w:ind w:left="293" w:right="361"/>
        <w:rPr>
          <w:b/>
          <w:bCs/>
          <w:lang w:val="en-US"/>
        </w:rPr>
      </w:pPr>
      <w:r w:rsidRPr="001D6804">
        <w:rPr>
          <w:b/>
          <w:bCs/>
          <w:lang w:val="en-US"/>
        </w:rPr>
        <w:t>23. Origin</w:t>
      </w:r>
    </w:p>
    <w:p w14:paraId="25210385" w14:textId="0662A6D2" w:rsidR="001D6804" w:rsidRDefault="001D6804" w:rsidP="001D6804">
      <w:pPr>
        <w:ind w:left="293" w:right="361"/>
        <w:rPr>
          <w:lang w:val="en-US"/>
        </w:rPr>
      </w:pPr>
      <w:r w:rsidRPr="001D6804">
        <w:rPr>
          <w:lang w:val="en-US"/>
        </w:rPr>
        <w:t>10.1 All goods purchased must originate from an eligible source country as defined in Regulation (EU) 2021/948 of 27 May 2021. For this purpose, ‘origin’ means the place where the goods are extracted, grown, produced or manufactured. The origin of the goods must be determined in accordance with the EU Customs Code or the relevant applicable international agreement.</w:t>
      </w:r>
    </w:p>
    <w:p w14:paraId="47A6C464" w14:textId="211367E9" w:rsidR="001D6804" w:rsidRPr="001D6804" w:rsidRDefault="001D6804" w:rsidP="001D6804">
      <w:pPr>
        <w:ind w:left="293" w:right="361"/>
        <w:rPr>
          <w:b/>
          <w:bCs/>
          <w:lang w:val="en-US"/>
        </w:rPr>
      </w:pPr>
      <w:r w:rsidRPr="001D6804">
        <w:rPr>
          <w:b/>
          <w:bCs/>
          <w:lang w:val="en-US"/>
        </w:rPr>
        <w:t>24. General principles regarding payments</w:t>
      </w:r>
    </w:p>
    <w:p w14:paraId="63C9006D" w14:textId="77777777" w:rsidR="001D6804" w:rsidRPr="001D6804" w:rsidRDefault="001D6804" w:rsidP="001D6804">
      <w:pPr>
        <w:ind w:left="293" w:right="361"/>
        <w:rPr>
          <w:lang w:val="en-US"/>
        </w:rPr>
      </w:pPr>
      <w:r w:rsidRPr="001D6804">
        <w:rPr>
          <w:lang w:val="en-US"/>
        </w:rPr>
        <w:t xml:space="preserve">26.1 </w:t>
      </w:r>
      <w:r w:rsidRPr="001D6804">
        <w:rPr>
          <w:lang w:val="en-US"/>
        </w:rPr>
        <w:tab/>
        <w:t>However, if the entrepreneur (seller) is a citizen of the Republic of Moldova, payments will be made in Moldovan lei, according to the exchange rate established by the National Bank of Moldova on the date of transfer.</w:t>
      </w:r>
    </w:p>
    <w:p w14:paraId="3122361B" w14:textId="77777777" w:rsidR="001D6804" w:rsidRPr="001D6804" w:rsidRDefault="001D6804" w:rsidP="001D6804">
      <w:pPr>
        <w:ind w:left="293" w:right="361"/>
        <w:rPr>
          <w:lang w:val="en-US"/>
        </w:rPr>
      </w:pPr>
      <w:r w:rsidRPr="001D6804">
        <w:rPr>
          <w:lang w:val="en-US"/>
        </w:rPr>
        <w:t xml:space="preserve">Payments shall be </w:t>
      </w:r>
      <w:proofErr w:type="spellStart"/>
      <w:r w:rsidRPr="001D6804">
        <w:rPr>
          <w:lang w:val="en-US"/>
        </w:rPr>
        <w:t>authorised</w:t>
      </w:r>
      <w:proofErr w:type="spellEnd"/>
      <w:r w:rsidRPr="001D6804">
        <w:rPr>
          <w:lang w:val="en-US"/>
        </w:rPr>
        <w:t xml:space="preserve"> and made on the basis of any admissible invoice, within 30 days of its signature and registration by the contracting authority. No pre-financing is foreseen.</w:t>
      </w:r>
    </w:p>
    <w:p w14:paraId="088281DA" w14:textId="77777777" w:rsidR="001D6804" w:rsidRPr="001D6804" w:rsidRDefault="001D6804" w:rsidP="001D6804">
      <w:pPr>
        <w:ind w:left="293" w:right="361"/>
        <w:rPr>
          <w:lang w:val="en-US"/>
        </w:rPr>
      </w:pPr>
      <w:r w:rsidRPr="001D6804">
        <w:rPr>
          <w:lang w:val="en-US"/>
        </w:rPr>
        <w:t>Payments are authorized and made by the State Treasury of the Republic of Moldova.</w:t>
      </w:r>
    </w:p>
    <w:p w14:paraId="11BC4C15" w14:textId="77777777" w:rsidR="001D6804" w:rsidRPr="001D6804" w:rsidRDefault="001D6804" w:rsidP="001D6804">
      <w:pPr>
        <w:ind w:left="293" w:right="361"/>
        <w:rPr>
          <w:lang w:val="en-US"/>
        </w:rPr>
      </w:pPr>
      <w:r w:rsidRPr="001D6804">
        <w:rPr>
          <w:lang w:val="en-US"/>
        </w:rPr>
        <w:t>26.3 By way of derogation, the final payment to the contractor of the amounts due shall be made within 90 days of the contracting authority's receipt of an invoice and the request for a provisional acceptance certificate.</w:t>
      </w:r>
    </w:p>
    <w:p w14:paraId="7FBF8AD5" w14:textId="77777777" w:rsidR="001D6804" w:rsidRPr="001D6804" w:rsidRDefault="001D6804" w:rsidP="001D6804">
      <w:pPr>
        <w:ind w:left="293" w:right="361"/>
        <w:rPr>
          <w:lang w:val="en-US"/>
        </w:rPr>
      </w:pPr>
      <w:r w:rsidRPr="001D6804">
        <w:rPr>
          <w:lang w:val="en-US"/>
        </w:rPr>
        <w:t xml:space="preserve">26.5 </w:t>
      </w:r>
      <w:r w:rsidRPr="001D6804">
        <w:rPr>
          <w:lang w:val="en-US"/>
        </w:rPr>
        <w:tab/>
        <w:t>In order to obtain payments, the contractor must submit to the authority referred to in point 26.1 above:</w:t>
      </w:r>
    </w:p>
    <w:p w14:paraId="723DF8F9" w14:textId="77777777" w:rsidR="001D6804" w:rsidRPr="001D6804" w:rsidRDefault="001D6804" w:rsidP="001D6804">
      <w:pPr>
        <w:ind w:left="293" w:right="361"/>
        <w:rPr>
          <w:lang w:val="en-US"/>
        </w:rPr>
      </w:pPr>
      <w:r w:rsidRPr="001D6804">
        <w:rPr>
          <w:lang w:val="en-US"/>
        </w:rPr>
        <w:t xml:space="preserve">a) </w:t>
      </w:r>
      <w:r w:rsidRPr="001D6804">
        <w:rPr>
          <w:lang w:val="en-US"/>
        </w:rPr>
        <w:tab/>
        <w:t>In order to obtain payments, the contractor must submit to the authority referred to in point 26.1 above:</w:t>
      </w:r>
    </w:p>
    <w:p w14:paraId="4E85625D" w14:textId="77777777" w:rsidR="001D6804" w:rsidRPr="001D6804" w:rsidRDefault="001D6804" w:rsidP="001D6804">
      <w:pPr>
        <w:ind w:left="293" w:right="361"/>
        <w:rPr>
          <w:lang w:val="en-US"/>
        </w:rPr>
      </w:pPr>
      <w:r w:rsidRPr="001D6804">
        <w:rPr>
          <w:lang w:val="en-US"/>
        </w:rPr>
        <w:t xml:space="preserve">a) </w:t>
      </w:r>
      <w:r w:rsidRPr="001D6804">
        <w:rPr>
          <w:lang w:val="en-US"/>
        </w:rPr>
        <w:tab/>
        <w:t>No pre-financing guarantee is required.</w:t>
      </w:r>
    </w:p>
    <w:p w14:paraId="6E1B7801" w14:textId="77777777" w:rsidR="001D6804" w:rsidRPr="001D6804" w:rsidRDefault="001D6804" w:rsidP="001D6804">
      <w:pPr>
        <w:ind w:left="293" w:right="361"/>
        <w:rPr>
          <w:lang w:val="en-US"/>
        </w:rPr>
      </w:pPr>
      <w:r w:rsidRPr="001D6804">
        <w:rPr>
          <w:lang w:val="en-US"/>
        </w:rPr>
        <w:t xml:space="preserve">26.9 </w:t>
      </w:r>
      <w:r w:rsidRPr="001D6804">
        <w:rPr>
          <w:lang w:val="en-US"/>
        </w:rPr>
        <w:tab/>
        <w:t>For the execution of the contract, no price revisions are foreseen.</w:t>
      </w:r>
    </w:p>
    <w:p w14:paraId="03122FFB" w14:textId="3537AC79" w:rsidR="001D6804" w:rsidRPr="001D6804" w:rsidRDefault="001D6804" w:rsidP="001D6804">
      <w:pPr>
        <w:ind w:left="293" w:right="361"/>
        <w:rPr>
          <w:b/>
          <w:bCs/>
          <w:lang w:val="en-US"/>
        </w:rPr>
      </w:pPr>
      <w:r w:rsidRPr="001D6804">
        <w:rPr>
          <w:b/>
          <w:bCs/>
          <w:lang w:val="en-US"/>
        </w:rPr>
        <w:t xml:space="preserve">2 </w:t>
      </w:r>
      <w:r>
        <w:rPr>
          <w:b/>
          <w:bCs/>
          <w:lang w:val="en-US"/>
        </w:rPr>
        <w:t>5. Data protection</w:t>
      </w:r>
    </w:p>
    <w:p w14:paraId="6BC75978" w14:textId="77777777" w:rsidR="001D6804" w:rsidRPr="001D6804" w:rsidRDefault="001D6804" w:rsidP="001D6804">
      <w:pPr>
        <w:ind w:left="293" w:right="361"/>
        <w:rPr>
          <w:lang w:val="en-US"/>
        </w:rPr>
      </w:pPr>
      <w:r w:rsidRPr="001D6804">
        <w:rPr>
          <w:lang w:val="en-US"/>
        </w:rPr>
        <w:t>1. The processing of personal data related to the execution of the contract by the contracting authority will be carried out in accordance with the national legislation of the contracting authority's state and with the provisions of the respective financing contract.</w:t>
      </w:r>
    </w:p>
    <w:p w14:paraId="1B064FA1" w14:textId="59C03927" w:rsidR="00E6518B" w:rsidRPr="00890FFA" w:rsidRDefault="001D6804" w:rsidP="001D6804">
      <w:pPr>
        <w:ind w:left="293" w:right="361"/>
        <w:rPr>
          <w:lang w:val="en-US"/>
        </w:rPr>
      </w:pPr>
      <w:r w:rsidRPr="001D6804">
        <w:rPr>
          <w:lang w:val="en-US"/>
        </w:rPr>
        <w:t xml:space="preserve">2. Insofar as the contract covers an action financed by the European Union, the contracting authority may communicate to the European Commission communications relating to the performance of the contract. Such exchanges shall be made to the Commission solely for the purpose of enabling the </w:t>
      </w:r>
      <w:r w:rsidRPr="001D6804">
        <w:rPr>
          <w:lang w:val="en-US"/>
        </w:rPr>
        <w:lastRenderedPageBreak/>
        <w:t xml:space="preserve">Commission to exercise its rights and obligations under the applicable legal framework and the financing agreement with the partner country – the contracting authority. The exchanges may involve transfers of personal data (such as names, contact details, signatures and CVs) of natural persons involved in the performance of the contract (such as contractors, staff, experts, trainees, subcontractors, insurers, guarantors, auditors and legal advisors). In cases where the contractor processes personal data in the context of the performance of the contract, it shall inform the data subjects accordingly of the possible transmission of their data to the Commission. When personal data are transmitted to the Commission, the Commission processes them in accordance with Regulation (EU) 2018/1725 of the European Parliament and of the Council of 23 October 2018 on the protection of natural persons with regard to the processing of personal data by the Union institutions, bodies, offices and agencies and on the free movement of such data, and repealing Regulation (EC) No 45/2001 and Decision No 1247/2002/ EC and as detailed in the specific privacy statement published on </w:t>
      </w:r>
      <w:proofErr w:type="spellStart"/>
      <w:r w:rsidRPr="001D6804">
        <w:rPr>
          <w:lang w:val="en-US"/>
        </w:rPr>
        <w:t>ePRAG</w:t>
      </w:r>
      <w:proofErr w:type="spellEnd"/>
      <w:r w:rsidRPr="001D6804">
        <w:rPr>
          <w:lang w:val="en-US"/>
        </w:rPr>
        <w:t>.</w:t>
      </w:r>
    </w:p>
    <w:sectPr w:rsidR="00E6518B" w:rsidRPr="00890FFA">
      <w:footerReference w:type="even" r:id="rId9"/>
      <w:footerReference w:type="default" r:id="rId10"/>
      <w:footerReference w:type="first" r:id="rId11"/>
      <w:pgSz w:w="12240" w:h="15840"/>
      <w:pgMar w:top="759" w:right="1434" w:bottom="1274" w:left="1416" w:header="720" w:footer="61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3C1C91" w14:textId="77777777" w:rsidR="00BD11F5" w:rsidRDefault="00BD11F5">
      <w:pPr>
        <w:spacing w:after="0" w:line="240" w:lineRule="auto"/>
      </w:pPr>
      <w:r>
        <w:separator/>
      </w:r>
    </w:p>
  </w:endnote>
  <w:endnote w:type="continuationSeparator" w:id="0">
    <w:p w14:paraId="13D4FB32" w14:textId="77777777" w:rsidR="00BD11F5" w:rsidRDefault="00BD11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6488B" w14:textId="77777777" w:rsidR="00E6518B" w:rsidRDefault="00473C7B">
    <w:pPr>
      <w:tabs>
        <w:tab w:val="right" w:pos="9390"/>
      </w:tabs>
      <w:spacing w:after="0" w:line="259" w:lineRule="auto"/>
      <w:ind w:left="0" w:firstLine="0"/>
      <w:jc w:val="left"/>
    </w:pPr>
    <w:r>
      <w:rPr>
        <w:b/>
        <w:sz w:val="20"/>
      </w:rPr>
      <w:t>2026</w:t>
    </w:r>
    <w:r>
      <w:rPr>
        <w:sz w:val="18"/>
      </w:rPr>
      <w:t xml:space="preserve"> </w:t>
    </w:r>
    <w:r>
      <w:rPr>
        <w:sz w:val="18"/>
      </w:rPr>
      <w:tab/>
    </w:r>
    <w:r>
      <w:fldChar w:fldCharType="begin"/>
    </w:r>
    <w:r>
      <w:instrText xml:space="preserve"> PAGE   \* MERGEFORMAT </w:instrText>
    </w:r>
    <w:r>
      <w:fldChar w:fldCharType="separate"/>
    </w:r>
    <w:r>
      <w:rPr>
        <w:sz w:val="18"/>
      </w:rPr>
      <w:t xml:space="preserve">1 </w:t>
    </w:r>
    <w:r>
      <w:rPr>
        <w:sz w:val="18"/>
      </w:rPr>
      <w:fldChar w:fldCharType="end"/>
    </w:r>
    <w:r>
      <w:rPr>
        <w:sz w:val="18"/>
      </w:rPr>
      <w:t xml:space="preserve">of </w:t>
    </w:r>
    <w:fldSimple w:instr=" NUMPAGES   \* MERGEFORMAT ">
      <w:r w:rsidR="00E6518B">
        <w:rPr>
          <w:sz w:val="18"/>
        </w:rPr>
        <w:t>4</w:t>
      </w:r>
    </w:fldSimple>
    <w:r>
      <w:rPr>
        <w:b/>
        <w:sz w:val="20"/>
      </w:rPr>
      <w:t xml:space="preserve"> </w:t>
    </w:r>
  </w:p>
  <w:p w14:paraId="0A09DB82" w14:textId="77777777" w:rsidR="00E6518B" w:rsidRDefault="00473C7B">
    <w:pPr>
      <w:spacing w:after="0" w:line="259" w:lineRule="auto"/>
      <w:ind w:left="0" w:firstLine="0"/>
      <w:jc w:val="left"/>
    </w:pPr>
    <w:r>
      <w:rPr>
        <w:sz w:val="18"/>
      </w:rPr>
      <w:t>Announcement</w:t>
    </w:r>
    <w:r>
      <w:rPr>
        <w:sz w:val="24"/>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FDEDA" w14:textId="1C50A885" w:rsidR="00E6518B" w:rsidRDefault="00473C7B">
    <w:pPr>
      <w:tabs>
        <w:tab w:val="right" w:pos="9390"/>
      </w:tabs>
      <w:spacing w:after="0" w:line="259" w:lineRule="auto"/>
      <w:ind w:left="0" w:firstLine="0"/>
      <w:jc w:val="left"/>
    </w:pPr>
    <w:r>
      <w:rPr>
        <w:b/>
        <w:sz w:val="20"/>
      </w:rPr>
      <w:t>2026</w:t>
    </w:r>
    <w:r>
      <w:rPr>
        <w:sz w:val="18"/>
      </w:rPr>
      <w:t xml:space="preserve"> </w:t>
    </w:r>
    <w:r>
      <w:rPr>
        <w:sz w:val="18"/>
      </w:rPr>
      <w:tab/>
    </w:r>
    <w:r>
      <w:fldChar w:fldCharType="begin"/>
    </w:r>
    <w:r>
      <w:instrText xml:space="preserve"> PAGE   \* MERGEFORMAT </w:instrText>
    </w:r>
    <w:r>
      <w:fldChar w:fldCharType="separate"/>
    </w:r>
    <w:r w:rsidR="00310E1F" w:rsidRPr="00310E1F">
      <w:rPr>
        <w:noProof/>
        <w:sz w:val="18"/>
      </w:rPr>
      <w:t>3</w:t>
    </w:r>
    <w:r>
      <w:rPr>
        <w:sz w:val="18"/>
      </w:rPr>
      <w:fldChar w:fldCharType="end"/>
    </w:r>
    <w:r>
      <w:rPr>
        <w:sz w:val="18"/>
      </w:rPr>
      <w:t xml:space="preserve">of </w:t>
    </w:r>
    <w:fldSimple w:instr=" NUMPAGES   \* MERGEFORMAT ">
      <w:r w:rsidR="00310E1F" w:rsidRPr="00310E1F">
        <w:rPr>
          <w:noProof/>
          <w:sz w:val="18"/>
        </w:rPr>
        <w:t>6</w:t>
      </w:r>
    </w:fldSimple>
    <w:r>
      <w:rPr>
        <w:b/>
        <w:sz w:val="20"/>
      </w:rPr>
      <w:t xml:space="preserve"> </w:t>
    </w:r>
  </w:p>
  <w:p w14:paraId="4C453945" w14:textId="77777777" w:rsidR="00E6518B" w:rsidRDefault="00473C7B">
    <w:pPr>
      <w:spacing w:after="0" w:line="259" w:lineRule="auto"/>
      <w:ind w:left="0" w:firstLine="0"/>
      <w:jc w:val="left"/>
    </w:pPr>
    <w:r>
      <w:rPr>
        <w:sz w:val="18"/>
      </w:rPr>
      <w:t>Announcement</w:t>
    </w:r>
    <w:r>
      <w:rPr>
        <w:sz w:val="24"/>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2932A" w14:textId="77777777" w:rsidR="00E6518B" w:rsidRDefault="00473C7B">
    <w:pPr>
      <w:tabs>
        <w:tab w:val="right" w:pos="9390"/>
      </w:tabs>
      <w:spacing w:after="0" w:line="259" w:lineRule="auto"/>
      <w:ind w:left="0" w:firstLine="0"/>
      <w:jc w:val="left"/>
    </w:pPr>
    <w:r>
      <w:rPr>
        <w:b/>
        <w:sz w:val="20"/>
      </w:rPr>
      <w:t>2026</w:t>
    </w:r>
    <w:r>
      <w:rPr>
        <w:sz w:val="18"/>
      </w:rPr>
      <w:t xml:space="preserve"> </w:t>
    </w:r>
    <w:r>
      <w:rPr>
        <w:sz w:val="18"/>
      </w:rPr>
      <w:tab/>
    </w:r>
    <w:r>
      <w:fldChar w:fldCharType="begin"/>
    </w:r>
    <w:r>
      <w:instrText xml:space="preserve"> PAGE   \* MERGEFORMAT </w:instrText>
    </w:r>
    <w:r>
      <w:fldChar w:fldCharType="separate"/>
    </w:r>
    <w:r>
      <w:rPr>
        <w:sz w:val="18"/>
      </w:rPr>
      <w:t xml:space="preserve">1 </w:t>
    </w:r>
    <w:r>
      <w:rPr>
        <w:sz w:val="18"/>
      </w:rPr>
      <w:fldChar w:fldCharType="end"/>
    </w:r>
    <w:r>
      <w:rPr>
        <w:sz w:val="18"/>
      </w:rPr>
      <w:t xml:space="preserve">of </w:t>
    </w:r>
    <w:fldSimple w:instr=" NUMPAGES   \* MERGEFORMAT ">
      <w:r w:rsidR="00E6518B">
        <w:rPr>
          <w:sz w:val="18"/>
        </w:rPr>
        <w:t>4</w:t>
      </w:r>
    </w:fldSimple>
    <w:r>
      <w:rPr>
        <w:b/>
        <w:sz w:val="20"/>
      </w:rPr>
      <w:t xml:space="preserve"> </w:t>
    </w:r>
  </w:p>
  <w:p w14:paraId="3434A14D" w14:textId="77777777" w:rsidR="00E6518B" w:rsidRDefault="00473C7B">
    <w:pPr>
      <w:spacing w:after="0" w:line="259" w:lineRule="auto"/>
      <w:ind w:left="0" w:firstLine="0"/>
      <w:jc w:val="left"/>
    </w:pPr>
    <w:r>
      <w:rPr>
        <w:sz w:val="18"/>
      </w:rPr>
      <w:t>Announcement</w:t>
    </w:r>
    <w:r>
      <w:rPr>
        <w:sz w:val="24"/>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788F6F" w14:textId="77777777" w:rsidR="00BD11F5" w:rsidRDefault="00BD11F5">
      <w:pPr>
        <w:spacing w:after="0" w:line="240" w:lineRule="auto"/>
      </w:pPr>
      <w:r>
        <w:separator/>
      </w:r>
    </w:p>
  </w:footnote>
  <w:footnote w:type="continuationSeparator" w:id="0">
    <w:p w14:paraId="26819416" w14:textId="77777777" w:rsidR="00BD11F5" w:rsidRDefault="00BD11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783CED"/>
    <w:multiLevelType w:val="hybridMultilevel"/>
    <w:tmpl w:val="2E18BD2E"/>
    <w:lvl w:ilvl="0" w:tplc="05C24D4C">
      <w:start w:val="1"/>
      <w:numFmt w:val="decimal"/>
      <w:lvlText w:val="%1)"/>
      <w:lvlJc w:val="left"/>
      <w:pPr>
        <w:ind w:left="706"/>
      </w:pPr>
      <w:rPr>
        <w:rFonts w:ascii="Times New Roman" w:eastAsia="Times New Roman" w:hAnsi="Times New Roman" w:cs="Times New Roman"/>
        <w:b/>
        <w:bCs/>
        <w:i w:val="0"/>
        <w:strike w:val="0"/>
        <w:dstrike w:val="0"/>
        <w:color w:val="000000"/>
        <w:sz w:val="22"/>
        <w:szCs w:val="22"/>
        <w:u w:val="single" w:color="000000"/>
        <w:bdr w:val="none" w:sz="0" w:space="0" w:color="auto"/>
        <w:shd w:val="clear" w:color="auto" w:fill="auto"/>
        <w:vertAlign w:val="baseline"/>
      </w:rPr>
    </w:lvl>
    <w:lvl w:ilvl="1" w:tplc="AB7A1788">
      <w:start w:val="1"/>
      <w:numFmt w:val="decimal"/>
      <w:lvlText w:val="%2."/>
      <w:lvlJc w:val="left"/>
      <w:pPr>
        <w:ind w:left="10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9929888">
      <w:start w:val="1"/>
      <w:numFmt w:val="lowerRoman"/>
      <w:lvlText w:val="%3"/>
      <w:lvlJc w:val="left"/>
      <w:pPr>
        <w:ind w:left="18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85E3EFC">
      <w:start w:val="1"/>
      <w:numFmt w:val="decimal"/>
      <w:lvlText w:val="%4"/>
      <w:lvlJc w:val="left"/>
      <w:pPr>
        <w:ind w:left="25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8B66D3A">
      <w:start w:val="1"/>
      <w:numFmt w:val="lowerLetter"/>
      <w:lvlText w:val="%5"/>
      <w:lvlJc w:val="left"/>
      <w:pPr>
        <w:ind w:left="32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D38E0A0">
      <w:start w:val="1"/>
      <w:numFmt w:val="lowerRoman"/>
      <w:lvlText w:val="%6"/>
      <w:lvlJc w:val="left"/>
      <w:pPr>
        <w:ind w:left="39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88C0520">
      <w:start w:val="1"/>
      <w:numFmt w:val="decimal"/>
      <w:lvlText w:val="%7"/>
      <w:lvlJc w:val="left"/>
      <w:pPr>
        <w:ind w:left="46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2CA592C">
      <w:start w:val="1"/>
      <w:numFmt w:val="lowerLetter"/>
      <w:lvlText w:val="%8"/>
      <w:lvlJc w:val="left"/>
      <w:pPr>
        <w:ind w:left="54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86E3198">
      <w:start w:val="1"/>
      <w:numFmt w:val="lowerRoman"/>
      <w:lvlText w:val="%9"/>
      <w:lvlJc w:val="left"/>
      <w:pPr>
        <w:ind w:left="61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7B9165B"/>
    <w:multiLevelType w:val="hybridMultilevel"/>
    <w:tmpl w:val="8E70F286"/>
    <w:lvl w:ilvl="0" w:tplc="93F0F2AC">
      <w:start w:val="1"/>
      <w:numFmt w:val="decimal"/>
      <w:lvlText w:val="%1."/>
      <w:lvlJc w:val="left"/>
      <w:pPr>
        <w:ind w:left="69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6C323212">
      <w:start w:val="1"/>
      <w:numFmt w:val="lowerLetter"/>
      <w:lvlText w:val="%2"/>
      <w:lvlJc w:val="left"/>
      <w:pPr>
        <w:ind w:left="14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4EF45240">
      <w:start w:val="1"/>
      <w:numFmt w:val="lowerRoman"/>
      <w:lvlText w:val="%3"/>
      <w:lvlJc w:val="left"/>
      <w:pPr>
        <w:ind w:left="21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D8942CB2">
      <w:start w:val="1"/>
      <w:numFmt w:val="decimal"/>
      <w:lvlText w:val="%4"/>
      <w:lvlJc w:val="left"/>
      <w:pPr>
        <w:ind w:left="28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F86E5AEA">
      <w:start w:val="1"/>
      <w:numFmt w:val="lowerLetter"/>
      <w:lvlText w:val="%5"/>
      <w:lvlJc w:val="left"/>
      <w:pPr>
        <w:ind w:left="36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42BC7B50">
      <w:start w:val="1"/>
      <w:numFmt w:val="lowerRoman"/>
      <w:lvlText w:val="%6"/>
      <w:lvlJc w:val="left"/>
      <w:pPr>
        <w:ind w:left="43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396E8E48">
      <w:start w:val="1"/>
      <w:numFmt w:val="decimal"/>
      <w:lvlText w:val="%7"/>
      <w:lvlJc w:val="left"/>
      <w:pPr>
        <w:ind w:left="50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EBA007BE">
      <w:start w:val="1"/>
      <w:numFmt w:val="lowerLetter"/>
      <w:lvlText w:val="%8"/>
      <w:lvlJc w:val="left"/>
      <w:pPr>
        <w:ind w:left="57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5CB86EFA">
      <w:start w:val="1"/>
      <w:numFmt w:val="lowerRoman"/>
      <w:lvlText w:val="%9"/>
      <w:lvlJc w:val="left"/>
      <w:pPr>
        <w:ind w:left="64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18B"/>
    <w:rsid w:val="000A7467"/>
    <w:rsid w:val="000E4A15"/>
    <w:rsid w:val="001D601A"/>
    <w:rsid w:val="001D6804"/>
    <w:rsid w:val="0025701D"/>
    <w:rsid w:val="00310E1F"/>
    <w:rsid w:val="004604E2"/>
    <w:rsid w:val="00473C7B"/>
    <w:rsid w:val="004A5C79"/>
    <w:rsid w:val="005003B2"/>
    <w:rsid w:val="006C563F"/>
    <w:rsid w:val="006F54A7"/>
    <w:rsid w:val="007A3CAD"/>
    <w:rsid w:val="007E1C46"/>
    <w:rsid w:val="00890FFA"/>
    <w:rsid w:val="008A19E4"/>
    <w:rsid w:val="00917186"/>
    <w:rsid w:val="00A01D64"/>
    <w:rsid w:val="00B67083"/>
    <w:rsid w:val="00B76C5C"/>
    <w:rsid w:val="00BD11F5"/>
    <w:rsid w:val="00BD4E51"/>
    <w:rsid w:val="00CA72F3"/>
    <w:rsid w:val="00E42D9D"/>
    <w:rsid w:val="00E6518B"/>
    <w:rsid w:val="00F549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6D389"/>
  <w15:docId w15:val="{3A628068-0AB6-4DB8-81AD-456A2D621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 w:eastAsia="ru-RU"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89" w:line="248" w:lineRule="auto"/>
      <w:ind w:left="370" w:hanging="10"/>
      <w:jc w:val="both"/>
    </w:pPr>
    <w:rPr>
      <w:rFonts w:ascii="Times New Roman" w:eastAsia="Times New Roman" w:hAnsi="Times New Roman" w:cs="Times New Roman"/>
      <w:color w:val="000000"/>
      <w:sz w:val="22"/>
    </w:rPr>
  </w:style>
  <w:style w:type="paragraph" w:styleId="1">
    <w:name w:val="heading 1"/>
    <w:next w:val="a"/>
    <w:link w:val="10"/>
    <w:uiPriority w:val="9"/>
    <w:qFormat/>
    <w:pPr>
      <w:keepNext/>
      <w:keepLines/>
      <w:spacing w:after="122" w:line="259" w:lineRule="auto"/>
      <w:ind w:left="10" w:right="14" w:hanging="10"/>
      <w:jc w:val="center"/>
      <w:outlineLvl w:val="0"/>
    </w:pPr>
    <w:rPr>
      <w:rFonts w:ascii="Times New Roman" w:eastAsia="Times New Roman" w:hAnsi="Times New Roman" w:cs="Times New Roman"/>
      <w:b/>
      <w:color w:val="000000"/>
      <w:sz w:val="28"/>
    </w:rPr>
  </w:style>
  <w:style w:type="paragraph" w:styleId="2">
    <w:name w:val="heading 2"/>
    <w:next w:val="a"/>
    <w:link w:val="20"/>
    <w:uiPriority w:val="9"/>
    <w:unhideWhenUsed/>
    <w:qFormat/>
    <w:pPr>
      <w:keepNext/>
      <w:keepLines/>
      <w:spacing w:after="188" w:line="249" w:lineRule="auto"/>
      <w:ind w:left="370" w:hanging="10"/>
      <w:outlineLvl w:val="1"/>
    </w:pPr>
    <w:rPr>
      <w:rFonts w:ascii="Times New Roman" w:eastAsia="Times New Roman" w:hAnsi="Times New Roman" w:cs="Times New Roman"/>
      <w:b/>
      <w:color w:val="000000"/>
      <w:sz w:val="22"/>
    </w:rPr>
  </w:style>
  <w:style w:type="paragraph" w:styleId="3">
    <w:name w:val="heading 3"/>
    <w:next w:val="a"/>
    <w:link w:val="30"/>
    <w:uiPriority w:val="9"/>
    <w:unhideWhenUsed/>
    <w:qFormat/>
    <w:pPr>
      <w:keepNext/>
      <w:keepLines/>
      <w:spacing w:after="188" w:line="249" w:lineRule="auto"/>
      <w:ind w:left="370" w:hanging="10"/>
      <w:outlineLvl w:val="2"/>
    </w:pPr>
    <w:rPr>
      <w:rFonts w:ascii="Times New Roman" w:eastAsia="Times New Roman" w:hAnsi="Times New Roman" w:cs="Times New Roman"/>
      <w:b/>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8"/>
    </w:rPr>
  </w:style>
  <w:style w:type="character" w:customStyle="1" w:styleId="20">
    <w:name w:val="Заголовок 2 Знак"/>
    <w:link w:val="2"/>
    <w:rPr>
      <w:rFonts w:ascii="Times New Roman" w:eastAsia="Times New Roman" w:hAnsi="Times New Roman" w:cs="Times New Roman"/>
      <w:b/>
      <w:color w:val="000000"/>
      <w:sz w:val="22"/>
    </w:rPr>
  </w:style>
  <w:style w:type="character" w:customStyle="1" w:styleId="30">
    <w:name w:val="Заголовок 3 Знак"/>
    <w:link w:val="3"/>
    <w:rPr>
      <w:rFonts w:ascii="Times New Roman" w:eastAsia="Times New Roman" w:hAnsi="Times New Roman" w:cs="Times New Roman"/>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ctionsmap.e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anctionsmap.e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TotalTime>
  <Pages>6</Pages>
  <Words>1798</Words>
  <Characters>10252</Characters>
  <Application>Microsoft Office Word</Application>
  <DocSecurity>0</DocSecurity>
  <Lines>85</Lines>
  <Paragraphs>24</Paragraphs>
  <ScaleCrop>false</ScaleCrop>
  <HeadingPairs>
    <vt:vector size="2" baseType="variant">
      <vt:variant>
        <vt:lpstr>Titlu</vt:lpstr>
      </vt:variant>
      <vt:variant>
        <vt:i4>1</vt:i4>
      </vt:variant>
    </vt:vector>
  </HeadingPairs>
  <TitlesOfParts>
    <vt:vector size="1" baseType="lpstr">
      <vt:lpstr>Procurement notice for a service contract</vt:lpstr>
    </vt:vector>
  </TitlesOfParts>
  <Company/>
  <LinksUpToDate>false</LinksUpToDate>
  <CharactersWithSpaces>12026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notice for a service contract</dc:title>
  <dc:subject/>
  <dc:creator>ramatje</dc:creator>
  <cp:keywords>, docId:AC6A04CDD790FE3DE3595D64140C0C52</cp:keywords>
  <cp:lastModifiedBy>HP1</cp:lastModifiedBy>
  <cp:revision>15</cp:revision>
  <dcterms:created xsi:type="dcterms:W3CDTF">2026-06-25T12:34:00Z</dcterms:created>
  <dcterms:modified xsi:type="dcterms:W3CDTF">2026-07-03T08:26:00Z</dcterms:modified>
</cp:coreProperties>
</file>