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392180139"/>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80140"/>
      <w:bookmarkStart w:id="19" w:name="_Toc44953903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92045"/>
      <w:bookmarkStart w:id="28" w:name="_Toc449630844"/>
      <w:bookmarkStart w:id="29" w:name="_Toc449633089"/>
      <w:bookmarkStart w:id="30" w:name="_Toc449632597"/>
      <w:bookmarkStart w:id="31" w:name="_Toc392198690"/>
      <w:bookmarkStart w:id="32" w:name="_Toc392199060"/>
      <w:bookmarkStart w:id="33" w:name="_Toc392254909"/>
      <w:bookmarkStart w:id="34" w:name="_Toc392222624"/>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92047"/>
      <w:bookmarkStart w:id="37" w:name="_Toc449633091"/>
      <w:bookmarkStart w:id="38" w:name="_Toc449632599"/>
      <w:bookmarkStart w:id="39" w:name="_Toc449630846"/>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w:t>
            </w:r>
            <w:r>
              <w:rPr>
                <w:rFonts w:hint="default"/>
                <w:color w:val="000000" w:themeColor="text1"/>
                <w:lang w:val="en-US" w:eastAsia="ru-RU"/>
                <w14:textFill>
                  <w14:solidFill>
                    <w14:schemeClr w14:val="tx1"/>
                  </w14:solidFill>
                </w14:textFill>
              </w:rPr>
              <w:t>34972</w:t>
            </w:r>
            <w:r>
              <w:rPr>
                <w:color w:val="000000" w:themeColor="text1"/>
                <w:lang w:eastAsia="ru-RU"/>
                <w14:textFill>
                  <w14:solidFill>
                    <w14:schemeClr w14:val="tx1"/>
                  </w14:solidFill>
                </w14:textFill>
              </w:rPr>
              <w:t>.86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ind w:left="1080" w:leftChars="0" w:firstLineChars="0"/>
      </w:pPr>
      <w:r>
        <w:t xml:space="preserve"> Denumirea autorității contractante: Primaria Speia</w:t>
      </w:r>
    </w:p>
    <w:p w14:paraId="2ADE714E">
      <w:pPr>
        <w:numPr>
          <w:ilvl w:val="0"/>
          <w:numId w:val="9"/>
        </w:numPr>
        <w:tabs>
          <w:tab w:val="left" w:pos="284"/>
          <w:tab w:val="right" w:pos="9531"/>
        </w:tabs>
        <w:ind w:left="1080" w:leftChars="0" w:firstLineChars="0"/>
      </w:pPr>
      <w:r>
        <w:t>IDNO: 1007601010013</w:t>
      </w:r>
    </w:p>
    <w:p w14:paraId="32AD7D1A">
      <w:pPr>
        <w:numPr>
          <w:ilvl w:val="0"/>
          <w:numId w:val="9"/>
        </w:numPr>
        <w:tabs>
          <w:tab w:val="left" w:pos="284"/>
          <w:tab w:val="right" w:pos="9531"/>
        </w:tabs>
        <w:ind w:left="1080" w:leftChars="0" w:firstLineChars="0"/>
      </w:pPr>
      <w:r>
        <w:t>Adresa: MD 6533 r-l Anenii Noi, s. Speia, str. Stefan cel Mare</w:t>
      </w:r>
    </w:p>
    <w:p w14:paraId="44A51806">
      <w:pPr>
        <w:numPr>
          <w:ilvl w:val="0"/>
          <w:numId w:val="9"/>
        </w:numPr>
        <w:tabs>
          <w:tab w:val="left" w:pos="284"/>
          <w:tab w:val="right" w:pos="9531"/>
        </w:tabs>
        <w:ind w:left="1080" w:leftChars="0" w:firstLineChars="0"/>
      </w:pPr>
      <w:r>
        <w:t>Numărul de telefon/fax: 026574366, 026574365_</w:t>
      </w:r>
    </w:p>
    <w:p w14:paraId="0C978642">
      <w:pPr>
        <w:numPr>
          <w:ilvl w:val="0"/>
          <w:numId w:val="9"/>
        </w:numPr>
        <w:tabs>
          <w:tab w:val="left" w:pos="284"/>
          <w:tab w:val="right" w:pos="9531"/>
        </w:tabs>
        <w:ind w:left="1080" w:leftChars="0" w:firstLineChars="0"/>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ind w:left="1080" w:leftChars="0" w:firstLineChars="0"/>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ind w:left="1080" w:leftChars="0" w:firstLineChars="0"/>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ind w:left="1080" w:leftChars="0" w:firstLineChars="0"/>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w:t>
            </w:r>
            <w:r>
              <w:rPr>
                <w:rFonts w:hint="default"/>
                <w:lang w:val="en-US"/>
              </w:rPr>
              <w:t>34972</w:t>
            </w:r>
            <w:r>
              <w:t>.86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.86lei (patru milioane una suta </w:t>
            </w:r>
            <w:r>
              <w:rPr>
                <w:rFonts w:hint="default" w:ascii="Calibri" w:hAnsi="Calibri" w:eastAsia="Calibri" w:cs="Calibri"/>
                <w:b/>
                <w:color w:val="073763"/>
                <w:u w:val="single"/>
                <w:lang w:val="en-US"/>
              </w:rPr>
              <w:t>treizeci</w:t>
            </w:r>
            <w:r>
              <w:rPr>
                <w:rFonts w:ascii="Calibri" w:hAnsi="Calibri" w:eastAsia="Calibri" w:cs="Calibri"/>
                <w:b/>
                <w:color w:val="073763"/>
                <w:u w:val="single"/>
              </w:rPr>
              <w:t xml:space="preserve"> 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9"/>
        </w:numPr>
        <w:tabs>
          <w:tab w:val="right" w:pos="426"/>
        </w:tabs>
        <w:ind w:left="1080" w:leftChars="0" w:firstLineChars="0"/>
      </w:pPr>
      <w:r>
        <w:t>În cazul procedurilor de preselecție se indică numărul minim al candidaţilor şi, dacă este cazul, numărul maxim al acestora. Nu e cazul</w:t>
      </w:r>
    </w:p>
    <w:p w14:paraId="2843D77D">
      <w:pPr>
        <w:numPr>
          <w:ilvl w:val="0"/>
          <w:numId w:val="9"/>
        </w:numPr>
        <w:tabs>
          <w:tab w:val="right" w:pos="426"/>
        </w:tabs>
        <w:ind w:left="1080" w:leftChars="0" w:firstLineChars="0"/>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ind w:left="1080" w:leftChars="0" w:firstLineChars="0"/>
      </w:pPr>
      <w:r>
        <w:t>Admiterea sau interzicerea ofertelor alternative: nu se admite</w:t>
      </w:r>
    </w:p>
    <w:p w14:paraId="6C31B71C">
      <w:pPr>
        <w:numPr>
          <w:ilvl w:val="0"/>
          <w:numId w:val="9"/>
        </w:numPr>
        <w:tabs>
          <w:tab w:val="left" w:pos="0"/>
          <w:tab w:val="left" w:pos="284"/>
          <w:tab w:val="left" w:pos="426"/>
        </w:tabs>
        <w:ind w:left="1080" w:leftChars="0" w:firstLineChars="0"/>
      </w:pPr>
      <w:r>
        <w:t xml:space="preserve">Termenii și condițiile de prestare/executare solicitați: </w:t>
      </w:r>
    </w:p>
    <w:p w14:paraId="4A4AAE6C">
      <w:pPr>
        <w:tabs>
          <w:tab w:val="left" w:pos="0"/>
          <w:tab w:val="left" w:pos="284"/>
          <w:tab w:val="left" w:pos="426"/>
        </w:tabs>
      </w:pPr>
      <w:r>
        <w:t xml:space="preserve">  </w:t>
      </w:r>
      <w:r>
        <w:rPr>
          <w:rFonts w:hint="default"/>
          <w:lang w:val="en-US"/>
        </w:rPr>
        <w:t xml:space="preserve">Conform </w:t>
      </w:r>
      <w:r>
        <w:t>caiet</w:t>
      </w:r>
      <w:r>
        <w:rPr>
          <w:rFonts w:hint="default"/>
          <w:lang w:val="en-US"/>
        </w:rPr>
        <w:t>ului</w:t>
      </w:r>
      <w:r>
        <w:t xml:space="preserve"> de sarcini , 6 luni(180 zile ) termenul va intra în vigoare de la data  semnarii contractului</w:t>
      </w:r>
    </w:p>
    <w:p w14:paraId="2E124BD0">
      <w:pPr>
        <w:numPr>
          <w:ilvl w:val="0"/>
          <w:numId w:val="9"/>
        </w:numPr>
        <w:tabs>
          <w:tab w:val="left" w:pos="0"/>
          <w:tab w:val="left" w:pos="284"/>
          <w:tab w:val="left" w:pos="426"/>
        </w:tabs>
        <w:ind w:left="1080" w:leftChars="0" w:firstLineChars="0"/>
      </w:pPr>
      <w:r>
        <w:t>Termenul de valabilitate a contractului:31.12.2026</w:t>
      </w:r>
    </w:p>
    <w:p w14:paraId="0EF33798">
      <w:pPr>
        <w:numPr>
          <w:ilvl w:val="0"/>
          <w:numId w:val="9"/>
        </w:numPr>
        <w:tabs>
          <w:tab w:val="right" w:pos="426"/>
        </w:tabs>
        <w:ind w:left="1080" w:leftChars="0" w:firstLineChars="0"/>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ind w:left="1080" w:leftChars="0" w:firstLineChars="0"/>
      </w:pPr>
      <w:r>
        <w:t>Prestarea serviciului este rezervată unei anumite profesii în temeiul unor legisau al unor acte administrative (după caz): nu este cazul_</w:t>
      </w:r>
    </w:p>
    <w:p w14:paraId="0F259172">
      <w:pPr>
        <w:numPr>
          <w:ilvl w:val="0"/>
          <w:numId w:val="9"/>
        </w:numPr>
        <w:tabs>
          <w:tab w:val="right" w:pos="426"/>
        </w:tabs>
        <w:ind w:left="1080" w:leftChars="0" w:firstLineChars="0"/>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 xml:space="preserve">termen de </w:t>
            </w:r>
            <w:r>
              <w:rPr>
                <w:rFonts w:hint="default"/>
                <w:lang w:val="en-US"/>
              </w:rPr>
              <w:t>valabilitate</w:t>
            </w:r>
            <w:r>
              <w:t xml:space="preserv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 Varianta scanată de pe originalul acestora, confirmată prin semnatura electronică. </w:t>
            </w:r>
          </w:p>
          <w:p w14:paraId="35553AEA">
            <w:pPr>
              <w:tabs>
                <w:tab w:val="left" w:pos="612"/>
              </w:tabs>
            </w:pPr>
            <w:r>
              <w:t>Condițiile de calificare:</w:t>
            </w:r>
          </w:p>
          <w:p w14:paraId="21C1FD60">
            <w:pPr>
              <w:tabs>
                <w:tab w:val="left" w:pos="612"/>
              </w:tabs>
            </w:pPr>
            <w:r>
              <w:t xml:space="preserve">1. Realizarea unei cifre medii anuale de afaceri în ultimii 3 ani egală sau mai mare decît </w:t>
            </w:r>
            <w:r>
              <w:rPr>
                <w:rFonts w:hint="default"/>
                <w:lang w:val="en-US"/>
              </w:rPr>
              <w:t>4</w:t>
            </w:r>
            <w:r>
              <w:t xml:space="preserve">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pPr>
              <w:rPr>
                <w:rFonts w:hint="default"/>
                <w:lang w:val="en-US"/>
              </w:rPr>
            </w:pPr>
            <w:r>
              <w:t>Disponibilitatea de bani lichizi sau capital circulant, sau de resurse creditare în sumă de</w:t>
            </w:r>
            <w:r>
              <w:rPr>
                <w:rFonts w:hint="default"/>
                <w:lang w:val="en-US"/>
              </w:rPr>
              <w:t xml:space="preserve"> minim</w:t>
            </w:r>
            <w:r>
              <w:t xml:space="preserve"> </w:t>
            </w:r>
            <w:r>
              <w:rPr>
                <w:rFonts w:hint="default"/>
                <w:lang w:val="en-US"/>
              </w:rPr>
              <w:t xml:space="preserve">1240000 </w:t>
            </w:r>
            <w:r>
              <w:t>lei</w:t>
            </w:r>
            <w:r>
              <w:rPr>
                <w:rFonts w:hint="default"/>
                <w:lang w:val="en-US"/>
              </w:rPr>
              <w:t xml:space="preserve"> fara TVA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w:t>
            </w:r>
            <w:r>
              <w:rPr>
                <w:rFonts w:hint="default"/>
                <w:lang w:val="en-US"/>
              </w:rPr>
              <w:t xml:space="preserve">minim </w:t>
            </w:r>
            <w:r>
              <w:t>de</w:t>
            </w:r>
            <w:r>
              <w:rPr>
                <w:rFonts w:hint="default"/>
                <w:lang w:val="en-US"/>
              </w:rPr>
              <w:t xml:space="preserve"> 1240000</w:t>
            </w:r>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 xml:space="preserve">Autoritatea contractantă </w:t>
            </w:r>
            <w:r>
              <w:rPr>
                <w:rFonts w:hint="default"/>
              </w:rPr>
              <w:t xml:space="preserve">obligă </w:t>
            </w:r>
            <w:r>
              <w:t>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44E4CED7">
      <w:pPr>
        <w:jc w:val="both"/>
        <w:rPr>
          <w:rFonts w:ascii="Calibri" w:hAnsi="Calibri" w:eastAsia="Calibri" w:cs="Calibri"/>
          <w:i/>
          <w:sz w:val="18"/>
          <w:szCs w:val="18"/>
        </w:rPr>
      </w:pPr>
    </w:p>
    <w:p w14:paraId="75237093">
      <w:pPr>
        <w:pStyle w:val="2"/>
        <w:numPr>
          <w:ilvl w:val="0"/>
          <w:numId w:val="9"/>
        </w:numPr>
        <w:bidi w:val="0"/>
        <w:ind w:left="1080" w:leftChars="0" w:hanging="360" w:firstLineChars="0"/>
        <w:jc w:val="left"/>
        <w:rPr>
          <w:rFonts w:hint="default"/>
          <w:lang w:val="en-US" w:eastAsia="zh-CN"/>
        </w:rPr>
      </w:pPr>
      <w:bookmarkStart w:id="63" w:name="_GoBack"/>
      <w:bookmarkEnd w:id="63"/>
      <w:r>
        <w:rPr>
          <w:rFonts w:hint="default"/>
          <w:b w:val="0"/>
          <w:bCs/>
          <w:lang w:val="en-US" w:eastAsia="zh-CN"/>
        </w:rPr>
        <w:t>Cerințele privind garanția pentru ofertă, garanția de bună execuție a contractului și termenul de garanție a lucrărilor sunt cele stabilite expres în tabelul de la pct. 16 din prezentul anunț de participare.</w:t>
      </w:r>
    </w:p>
    <w:p w14:paraId="2B0E9819">
      <w:pPr>
        <w:numPr>
          <w:ilvl w:val="0"/>
          <w:numId w:val="9"/>
        </w:numPr>
        <w:tabs>
          <w:tab w:val="right" w:pos="426"/>
        </w:tabs>
        <w:ind w:left="1080" w:leftChars="0" w:hanging="360" w:firstLineChars="0"/>
        <w:jc w:val="left"/>
      </w:pPr>
      <w:r>
        <w:rPr>
          <w:rFonts w:hint="default"/>
          <w:lang w:val="en-US"/>
        </w:rPr>
        <w:t xml:space="preserve">18 </w:t>
      </w: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ind w:left="1080" w:leftChars="0" w:hanging="360" w:firstLineChars="0"/>
        <w:jc w:val="left"/>
      </w:pPr>
      <w:r>
        <w:rPr>
          <w:rFonts w:hint="default"/>
          <w:lang w:val="en-US"/>
        </w:rPr>
        <w:t>19</w:t>
      </w: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ind w:left="1080" w:leftChars="0" w:hanging="360" w:firstLineChars="0"/>
        <w:jc w:val="left"/>
      </w:pPr>
      <w:r>
        <w:rPr>
          <w:rFonts w:hint="default"/>
          <w:lang w:val="en-US"/>
        </w:rPr>
        <w:t>20</w:t>
      </w: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ind w:left="1080" w:leftChars="0" w:hanging="360" w:firstLineChars="0"/>
        <w:jc w:val="left"/>
      </w:pPr>
      <w:r>
        <w:rPr>
          <w:rFonts w:hint="default"/>
          <w:lang w:val="en-US"/>
        </w:rPr>
        <w:t>21</w:t>
      </w:r>
      <w:r>
        <w:t xml:space="preserve">Ofertele se prezintă în valută </w:t>
      </w:r>
      <w:r>
        <w:rPr>
          <w:b/>
          <w:bCs/>
        </w:rPr>
        <w:t>MDL</w:t>
      </w:r>
    </w:p>
    <w:p w14:paraId="79063913">
      <w:pPr>
        <w:numPr>
          <w:ilvl w:val="0"/>
          <w:numId w:val="9"/>
        </w:numPr>
        <w:tabs>
          <w:tab w:val="right" w:pos="426"/>
        </w:tabs>
        <w:ind w:left="1080" w:leftChars="0" w:hanging="360" w:firstLineChars="0"/>
        <w:jc w:val="left"/>
      </w:pPr>
      <w:r>
        <w:rPr>
          <w:rFonts w:hint="default"/>
          <w:lang w:val="en-US"/>
        </w:rPr>
        <w:t>22</w:t>
      </w: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ind w:left="1080" w:leftChars="0" w:hanging="360" w:firstLineChars="0"/>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ind w:left="1080" w:leftChars="0" w:firstLineChars="0"/>
      </w:pPr>
      <w:r>
        <w:t>Adresa la care trebuie transmise ofertele sau cererile de participare: SIA RSAP</w:t>
      </w:r>
    </w:p>
    <w:p w14:paraId="051B7B47">
      <w:pPr>
        <w:numPr>
          <w:ilvl w:val="0"/>
          <w:numId w:val="9"/>
        </w:numPr>
        <w:tabs>
          <w:tab w:val="right" w:pos="426"/>
        </w:tabs>
        <w:ind w:left="1080" w:leftChars="0" w:firstLineChars="0"/>
      </w:pPr>
      <w:r>
        <w:t>Ofertele sau cererile de participare vor fi depuse electronic prin intermediul SIA RSAP</w:t>
      </w:r>
    </w:p>
    <w:p w14:paraId="0A550466">
      <w:pPr>
        <w:numPr>
          <w:ilvl w:val="0"/>
          <w:numId w:val="9"/>
        </w:numPr>
        <w:tabs>
          <w:tab w:val="right" w:pos="426"/>
        </w:tabs>
        <w:ind w:left="1080" w:leftChars="0" w:firstLineChars="0"/>
      </w:pPr>
      <w:r>
        <w:t>Termenul de valabilitate a ofertelor: 60 zile</w:t>
      </w:r>
    </w:p>
    <w:p w14:paraId="7A9679F8">
      <w:pPr>
        <w:numPr>
          <w:ilvl w:val="0"/>
          <w:numId w:val="9"/>
        </w:numPr>
        <w:tabs>
          <w:tab w:val="right" w:pos="426"/>
        </w:tabs>
        <w:ind w:left="1080" w:leftChars="0" w:firstLineChars="0"/>
      </w:pPr>
      <w:r>
        <w:t xml:space="preserve"> Locul deschiderii ofertelor: conform SIA RSAP</w:t>
      </w:r>
    </w:p>
    <w:p w14:paraId="79D212C8">
      <w:pPr>
        <w:numPr>
          <w:ilvl w:val="0"/>
          <w:numId w:val="9"/>
        </w:numPr>
        <w:tabs>
          <w:tab w:val="right" w:pos="426"/>
        </w:tabs>
        <w:ind w:left="1080" w:leftChars="0" w:firstLineChars="0"/>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ind w:left="1080" w:leftChars="0" w:firstLineChars="0"/>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ind w:left="1080" w:leftChars="0" w:firstLineChars="0"/>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ind w:left="1080" w:leftChars="0" w:firstLineChars="0"/>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ind w:left="1080" w:leftChars="0" w:firstLineChars="0"/>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ind w:left="1080" w:leftChars="0" w:firstLineChars="0"/>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ind w:left="1080" w:leftChars="0" w:firstLineChars="0"/>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ind w:left="1080" w:leftChars="0" w:firstLineChars="0"/>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ind w:left="1080" w:leftChars="0" w:firstLineChars="0"/>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ind w:left="1080" w:leftChars="0" w:firstLineChars="0"/>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ind w:left="1080" w:leftChars="0" w:firstLineChars="0"/>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3156"/>
      <w:bookmarkStart w:id="55" w:name="_Toc449692111"/>
      <w:bookmarkStart w:id="56" w:name="_Toc449632664"/>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33157"/>
      <w:bookmarkStart w:id="58" w:name="_Toc449632665"/>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blPrEx>
          <w:tblCellMar>
            <w:top w:w="0" w:type="dxa"/>
            <w:left w:w="108" w:type="dxa"/>
            <w:bottom w:w="0" w:type="dxa"/>
            <w:right w:w="108" w:type="dxa"/>
          </w:tblCellMar>
        </w:tblPrEx>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Baltica">
    <w:altName w:val="Arial Narrow"/>
    <w:panose1 w:val="00000000000000000000"/>
    <w:charset w:val="00"/>
    <w:family w:val="swiss"/>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CC"/>
    <w:family w:val="swiss"/>
    <w:pitch w:val="default"/>
    <w:sig w:usb0="A10006FF" w:usb1="4000205B" w:usb2="0000001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Arial Narrow">
    <w:panose1 w:val="020B0606020202030204"/>
    <w:charset w:val="00"/>
    <w:family w:val="auto"/>
    <w:pitch w:val="default"/>
    <w:sig w:usb0="00000287" w:usb1="00000800" w:usb2="00000000" w:usb3="00000000" w:csb0="2000009F" w:csb1="DFD7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8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108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11526DC4"/>
    <w:rsid w:val="33226C00"/>
    <w:rsid w:val="49F6314D"/>
    <w:rsid w:val="4C597AC4"/>
    <w:rsid w:val="5AA1637F"/>
    <w:rsid w:val="6CB03CE0"/>
    <w:rsid w:val="6CBD0981"/>
    <w:rsid w:val="732E1766"/>
    <w:rsid w:val="7B76781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qFormat/>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qFormat/>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qFormat/>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qFormat/>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qFormat/>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qFormat/>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qFormat/>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qFormat/>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qFormat/>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qFormat/>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qFormat/>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qFormat/>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qFormat/>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qFormat/>
    <w:uiPriority w:val="99"/>
    <w:rPr>
      <w:rFonts w:ascii="Consolas" w:hAnsi="Consolas"/>
      <w:sz w:val="20"/>
      <w:szCs w:val="20"/>
    </w:rPr>
  </w:style>
  <w:style w:type="paragraph" w:styleId="52">
    <w:name w:val="Block Text"/>
    <w:basedOn w:val="1"/>
    <w:qFormat/>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qFormat/>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qFormat/>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line="314" w:lineRule="exact"/>
      <w:jc w:val="both"/>
    </w:pPr>
    <w:rPr>
      <w:lang w:eastAsia="ro-RO"/>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Стандартный HTML Знак"/>
    <w:basedOn w:val="13"/>
    <w:link w:val="51"/>
    <w:semiHidden/>
    <w:qFormat/>
    <w:uiPriority w:val="99"/>
    <w:rPr>
      <w:rFonts w:ascii="Consolas" w:hAnsi="Consolas" w:eastAsia="Times New Roman" w:cs="Times New Roman"/>
      <w:sz w:val="20"/>
      <w:szCs w:val="20"/>
      <w:lang w:val="ro-RO"/>
    </w:rPr>
  </w:style>
  <w:style w:type="character" w:customStyle="1" w:styleId="93">
    <w:name w:val="Style4 Char"/>
    <w:basedOn w:val="87"/>
    <w:qFormat/>
    <w:locked/>
    <w:uiPriority w:val="0"/>
    <w:rPr>
      <w:rFonts w:ascii="Times New Roman" w:hAnsi="Times New Roman" w:eastAsia="Calibri" w:cs="Times New Roman"/>
      <w:sz w:val="24"/>
      <w:szCs w:val="24"/>
      <w:lang w:val="ru-RU" w:eastAsia="ru-RU" w:bidi="ar-SA"/>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qFormat/>
    <w:uiPriority w:val="99"/>
    <w:rPr>
      <w:color w:val="808080"/>
    </w:rPr>
  </w:style>
  <w:style w:type="character" w:customStyle="1" w:styleId="103">
    <w:name w:val="ln2paragraf1"/>
    <w:qFormat/>
    <w:uiPriority w:val="0"/>
    <w:rPr>
      <w:b/>
      <w:bCs/>
    </w:rPr>
  </w:style>
  <w:style w:type="character" w:customStyle="1" w:styleId="104">
    <w:name w:val="ln2tparagraf"/>
    <w:qFormat/>
    <w:uiPriority w:val="0"/>
  </w:style>
  <w:style w:type="character" w:customStyle="1" w:styleId="105">
    <w:name w:val="ln2tpunct"/>
    <w:qFormat/>
    <w:uiPriority w:val="0"/>
  </w:style>
  <w:style w:type="paragraph" w:customStyle="1" w:styleId="106">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107">
    <w:name w:val="tax1"/>
    <w:qFormat/>
    <w:uiPriority w:val="0"/>
    <w:rPr>
      <w:b/>
      <w:bCs/>
      <w:sz w:val="26"/>
      <w:szCs w:val="26"/>
    </w:rPr>
  </w:style>
  <w:style w:type="paragraph" w:customStyle="1" w:styleId="108">
    <w:name w:val="Default Text"/>
    <w:basedOn w:val="1"/>
    <w:link w:val="109"/>
    <w:qFormat/>
    <w:uiPriority w:val="99"/>
    <w:rPr>
      <w:szCs w:val="20"/>
      <w:lang w:val="en-US"/>
    </w:rPr>
  </w:style>
  <w:style w:type="character" w:customStyle="1" w:styleId="109">
    <w:name w:val="Default Text Char"/>
    <w:link w:val="108"/>
    <w:qFormat/>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qFormat/>
    <w:uiPriority w:val="0"/>
    <w:pPr>
      <w:spacing w:before="100" w:beforeAutospacing="1" w:after="100" w:afterAutospacing="1"/>
    </w:pPr>
    <w:rPr>
      <w:lang w:eastAsia="ro-RO"/>
    </w:rPr>
  </w:style>
  <w:style w:type="paragraph" w:customStyle="1" w:styleId="113">
    <w:name w:val="font5"/>
    <w:basedOn w:val="1"/>
    <w:qFormat/>
    <w:uiPriority w:val="0"/>
    <w:pPr>
      <w:spacing w:before="100" w:beforeAutospacing="1" w:after="100" w:afterAutospacing="1"/>
    </w:pPr>
    <w:rPr>
      <w:color w:val="000000"/>
      <w:sz w:val="22"/>
      <w:szCs w:val="22"/>
      <w:lang w:eastAsia="ro-RO"/>
    </w:rPr>
  </w:style>
  <w:style w:type="paragraph" w:customStyle="1" w:styleId="114">
    <w:name w:val="font6"/>
    <w:basedOn w:val="1"/>
    <w:qFormat/>
    <w:uiPriority w:val="0"/>
    <w:pPr>
      <w:spacing w:before="100" w:beforeAutospacing="1" w:after="100" w:afterAutospacing="1"/>
    </w:pPr>
    <w:rPr>
      <w:b/>
      <w:bCs/>
      <w:color w:val="FF0000"/>
      <w:sz w:val="22"/>
      <w:szCs w:val="22"/>
      <w:lang w:eastAsia="ro-RO"/>
    </w:rPr>
  </w:style>
  <w:style w:type="paragraph" w:customStyle="1" w:styleId="115">
    <w:name w:val="font7"/>
    <w:basedOn w:val="1"/>
    <w:qFormat/>
    <w:uiPriority w:val="0"/>
    <w:pPr>
      <w:spacing w:before="100" w:beforeAutospacing="1" w:after="100" w:afterAutospacing="1"/>
    </w:pPr>
    <w:rPr>
      <w:i/>
      <w:iCs/>
      <w:color w:val="000000"/>
      <w:sz w:val="22"/>
      <w:szCs w:val="22"/>
      <w:lang w:eastAsia="ro-RO"/>
    </w:rPr>
  </w:style>
  <w:style w:type="paragraph" w:customStyle="1" w:styleId="116">
    <w:name w:val="font8"/>
    <w:basedOn w:val="1"/>
    <w:qFormat/>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qFormat/>
    <w:uiPriority w:val="0"/>
    <w:pPr>
      <w:spacing w:before="100" w:beforeAutospacing="1" w:after="100" w:afterAutospacing="1"/>
      <w:jc w:val="center"/>
      <w:textAlignment w:val="center"/>
    </w:pPr>
    <w:rPr>
      <w:lang w:eastAsia="ro-RO"/>
    </w:rPr>
  </w:style>
  <w:style w:type="paragraph" w:customStyle="1" w:styleId="118">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qFormat/>
    <w:uiPriority w:val="0"/>
    <w:rPr>
      <w:rFonts w:hint="default" w:ascii="TimesNewRomanPS-BoldMT" w:hAnsi="TimesNewRomanPS-BoldMT"/>
      <w:b/>
      <w:bCs/>
      <w:color w:val="000000"/>
      <w:sz w:val="24"/>
      <w:szCs w:val="24"/>
    </w:rPr>
  </w:style>
  <w:style w:type="character" w:customStyle="1" w:styleId="132">
    <w:name w:val="fontstyle21"/>
    <w:basedOn w:val="13"/>
    <w:qFormat/>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qFormat/>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qFormat/>
    <w:uiPriority w:val="0"/>
    <w:rPr>
      <w:rFonts w:ascii="Times New Roman" w:hAnsi="Times New Roman" w:eastAsia="Times New Roman" w:cs="Times New Roman"/>
      <w:b/>
      <w:sz w:val="24"/>
      <w:szCs w:val="20"/>
      <w:lang w:val="ro-RO" w:eastAsia="ru-RU"/>
    </w:rPr>
  </w:style>
  <w:style w:type="character" w:customStyle="1" w:styleId="135">
    <w:name w:val="doc_header1"/>
    <w:qFormat/>
    <w:uiPriority w:val="0"/>
    <w:rPr>
      <w:rFonts w:ascii="Times New Roman" w:hAnsi="Times New Roman"/>
      <w:b/>
      <w:color w:val="000000"/>
      <w:sz w:val="24"/>
    </w:rPr>
  </w:style>
  <w:style w:type="character" w:customStyle="1" w:styleId="136">
    <w:name w:val="Текст Знак"/>
    <w:basedOn w:val="13"/>
    <w:link w:val="25"/>
    <w:qFormat/>
    <w:uiPriority w:val="0"/>
    <w:rPr>
      <w:rFonts w:ascii="Courier New" w:hAnsi="Courier New" w:eastAsia="Times New Roman" w:cs="Courier New"/>
      <w:sz w:val="20"/>
      <w:szCs w:val="20"/>
      <w:lang w:val="ro-RO" w:eastAsia="ru-RU"/>
    </w:rPr>
  </w:style>
  <w:style w:type="character" w:customStyle="1" w:styleId="137">
    <w:name w:val="doc_body1"/>
    <w:qFormat/>
    <w:uiPriority w:val="0"/>
    <w:rPr>
      <w:rFonts w:ascii="Times New Roman" w:hAnsi="Times New Roman"/>
      <w:color w:val="000000"/>
      <w:sz w:val="24"/>
    </w:rPr>
  </w:style>
  <w:style w:type="character" w:customStyle="1" w:styleId="138">
    <w:name w:val="doc_blue1"/>
    <w:qFormat/>
    <w:uiPriority w:val="0"/>
    <w:rPr>
      <w:color w:val="0000FF"/>
    </w:rPr>
  </w:style>
  <w:style w:type="paragraph" w:customStyle="1" w:styleId="139">
    <w:name w:val="Стиль1"/>
    <w:basedOn w:val="1"/>
    <w:autoRedefine/>
    <w:qFormat/>
    <w:uiPriority w:val="0"/>
    <w:pPr>
      <w:spacing w:line="276" w:lineRule="auto"/>
      <w:jc w:val="center"/>
    </w:pPr>
    <w:rPr>
      <w:sz w:val="20"/>
      <w:szCs w:val="20"/>
      <w:lang w:eastAsia="ru-RU"/>
    </w:rPr>
  </w:style>
  <w:style w:type="paragraph" w:customStyle="1" w:styleId="140">
    <w:name w:val="Стиль2"/>
    <w:basedOn w:val="1"/>
    <w:autoRedefine/>
    <w:qFormat/>
    <w:uiPriority w:val="0"/>
    <w:pPr>
      <w:spacing w:line="276" w:lineRule="auto"/>
      <w:jc w:val="both"/>
    </w:pPr>
    <w:rPr>
      <w:sz w:val="32"/>
      <w:szCs w:val="32"/>
      <w:lang w:eastAsia="ru-RU"/>
    </w:rPr>
  </w:style>
  <w:style w:type="character" w:customStyle="1" w:styleId="141">
    <w:name w:val="Основной текст 3 Знак"/>
    <w:basedOn w:val="13"/>
    <w:link w:val="47"/>
    <w:qFormat/>
    <w:uiPriority w:val="0"/>
    <w:rPr>
      <w:rFonts w:ascii="Times New Roman" w:hAnsi="Times New Roman" w:eastAsia="Times New Roman" w:cs="Times New Roman"/>
      <w:sz w:val="16"/>
      <w:szCs w:val="16"/>
      <w:lang w:val="ro-RO" w:eastAsia="ru-RU"/>
    </w:rPr>
  </w:style>
  <w:style w:type="paragraph" w:customStyle="1" w:styleId="142">
    <w:name w:val="cuprins1"/>
    <w:basedOn w:val="50"/>
    <w:qFormat/>
    <w:uiPriority w:val="0"/>
    <w:rPr>
      <w:sz w:val="24"/>
    </w:rPr>
  </w:style>
  <w:style w:type="paragraph" w:customStyle="1" w:styleId="143">
    <w:name w:val="abzat"/>
    <w:basedOn w:val="35"/>
    <w:qFormat/>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qFormat/>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qFormat/>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qFormat/>
    <w:uiPriority w:val="0"/>
    <w:pPr>
      <w:spacing w:line="276" w:lineRule="auto"/>
      <w:jc w:val="center"/>
    </w:pPr>
    <w:rPr>
      <w:b/>
      <w:bCs/>
      <w:lang w:eastAsia="ru-RU"/>
    </w:rPr>
  </w:style>
  <w:style w:type="character" w:customStyle="1" w:styleId="147">
    <w:name w:val="c1"/>
    <w:qFormat/>
    <w:uiPriority w:val="0"/>
    <w:rPr>
      <w:color w:val="0000FF"/>
    </w:rPr>
  </w:style>
  <w:style w:type="character" w:customStyle="1" w:styleId="148">
    <w:name w:val="text"/>
    <w:qFormat/>
    <w:uiPriority w:val="0"/>
    <w:rPr>
      <w:rFonts w:ascii="Verdana" w:hAnsi="Verdana"/>
      <w:color w:val="111111"/>
      <w:sz w:val="10"/>
    </w:rPr>
  </w:style>
  <w:style w:type="paragraph" w:customStyle="1" w:styleId="149">
    <w:name w:val="Char Char Char"/>
    <w:basedOn w:val="1"/>
    <w:qFormat/>
    <w:uiPriority w:val="0"/>
    <w:pPr>
      <w:spacing w:after="160" w:line="240" w:lineRule="exact"/>
      <w:jc w:val="both"/>
    </w:pPr>
    <w:rPr>
      <w:rFonts w:ascii="Arial" w:hAnsi="Arial" w:cs="Arial"/>
      <w:sz w:val="20"/>
      <w:szCs w:val="20"/>
      <w:lang w:val="en-US"/>
    </w:rPr>
  </w:style>
  <w:style w:type="character" w:customStyle="1" w:styleId="150">
    <w:name w:val="notranslate"/>
    <w:qFormat/>
    <w:uiPriority w:val="0"/>
    <w:rPr>
      <w:rFonts w:cs="Times New Roman"/>
    </w:rPr>
  </w:style>
  <w:style w:type="character" w:customStyle="1" w:styleId="151">
    <w:name w:val="to_full"/>
    <w:qFormat/>
    <w:uiPriority w:val="99"/>
    <w:rPr>
      <w:rFonts w:cs="Times New Roman"/>
    </w:rPr>
  </w:style>
  <w:style w:type="character" w:customStyle="1" w:styleId="152">
    <w:name w:val="bold"/>
    <w:qFormat/>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qFormat/>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qFormat/>
    <w:uiPriority w:val="0"/>
  </w:style>
  <w:style w:type="character" w:customStyle="1" w:styleId="160">
    <w:name w:val="l7"/>
    <w:qFormat/>
    <w:uiPriority w:val="0"/>
  </w:style>
  <w:style w:type="character" w:customStyle="1" w:styleId="161">
    <w:name w:val="l6"/>
    <w:qFormat/>
    <w:uiPriority w:val="0"/>
  </w:style>
  <w:style w:type="character" w:customStyle="1" w:styleId="162">
    <w:name w:val="l8"/>
    <w:qFormat/>
    <w:uiPriority w:val="0"/>
  </w:style>
  <w:style w:type="character" w:customStyle="1" w:styleId="163">
    <w:name w:val="l11"/>
    <w:qFormat/>
    <w:uiPriority w:val="0"/>
  </w:style>
  <w:style w:type="character" w:customStyle="1" w:styleId="164">
    <w:name w:val="l"/>
    <w:qFormat/>
    <w:uiPriority w:val="0"/>
  </w:style>
  <w:style w:type="character" w:customStyle="1" w:styleId="165">
    <w:name w:val="l10"/>
    <w:qFormat/>
    <w:uiPriority w:val="0"/>
  </w:style>
  <w:style w:type="character" w:customStyle="1" w:styleId="166">
    <w:name w:val="l9"/>
    <w:qFormat/>
    <w:uiPriority w:val="0"/>
  </w:style>
  <w:style w:type="character" w:customStyle="1" w:styleId="167">
    <w:name w:val="l12"/>
    <w:qFormat/>
    <w:uiPriority w:val="0"/>
  </w:style>
  <w:style w:type="character" w:customStyle="1" w:styleId="168">
    <w:name w:val="a1"/>
    <w:qFormat/>
    <w:uiPriority w:val="0"/>
  </w:style>
  <w:style w:type="character" w:customStyle="1" w:styleId="169">
    <w:name w:val="l62"/>
    <w:qFormat/>
    <w:uiPriority w:val="0"/>
  </w:style>
  <w:style w:type="character" w:customStyle="1" w:styleId="170">
    <w:name w:val="l72"/>
    <w:qFormat/>
    <w:uiPriority w:val="0"/>
  </w:style>
  <w:style w:type="character" w:customStyle="1" w:styleId="171">
    <w:name w:val="l82"/>
    <w:qFormat/>
    <w:uiPriority w:val="0"/>
  </w:style>
  <w:style w:type="paragraph" w:customStyle="1" w:styleId="172">
    <w:name w:val="Style"/>
    <w:qFormat/>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qFormat/>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qFormat/>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qFormat/>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qFormat/>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4</TotalTime>
  <ScaleCrop>false</ScaleCrop>
  <LinksUpToDate>false</LinksUpToDate>
  <CharactersWithSpaces>185699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2025-12-26T12:59:03Z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202A0CB28AD4456CA1347992DEF7701B_12</vt:lpwstr>
  </property>
</Properties>
</file>