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0DF77">
      <w:pPr>
        <w:spacing w:before="100" w:beforeAutospacing="1" w:after="100" w:afterAutospacing="1" w:line="240" w:lineRule="auto"/>
        <w:outlineLvl w:val="0"/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ro-RO" w:eastAsia="ru-RU"/>
        </w:rPr>
      </w:pPr>
      <w:r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en-US" w:eastAsia="ru-RU"/>
        </w:rPr>
        <w:t>Condi</w:t>
      </w:r>
      <w:r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ro-RO" w:eastAsia="ru-RU"/>
        </w:rPr>
        <w:t>ț</w:t>
      </w:r>
      <w:r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en-US" w:eastAsia="ru-RU"/>
        </w:rPr>
        <w:t>ii</w:t>
      </w:r>
      <w:r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ro-RO" w:eastAsia="ru-RU"/>
        </w:rPr>
        <w:t xml:space="preserve"> de participare</w:t>
      </w:r>
    </w:p>
    <w:p w14:paraId="463A1CAA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Privind solicitarea ofertei de preț pentru lucrările de reamplasare a rețelelor termice supraterane D800 mm</w:t>
      </w:r>
    </w:p>
    <w:p w14:paraId="7C3F1D0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Prin prezenta, SRL „HORUS”, în calitate de beneficiar (investitor), solicită oferta de preț pentru executarea lucrărilor de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reamplasare a rețelelor termice supraterane D800 mm (segmentul PL304 – PL342)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, amplasate pe terenurile cu nr. cadastrale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0100423.203, 0100423.540, 0100423.541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, situate în mun. Chișinău, str. Tudor Vladimirescu 1/8.</w:t>
      </w:r>
    </w:p>
    <w:p w14:paraId="11E1DA50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Lucrările vor fi executate în conformitate cu documentația de proiect și cerințele tehnice aplicabile.</w:t>
      </w:r>
    </w:p>
    <w:p w14:paraId="717556A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E1FF7D9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1. Criterii de calificare a ofertanților</w:t>
      </w:r>
    </w:p>
    <w:p w14:paraId="5CE67E3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Selectarea participanților la concurs pentru adjudecarea contractului de subantrepriză se va efectua în baza următoarelor criterii:</w:t>
      </w:r>
    </w:p>
    <w:p w14:paraId="3B09C1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eligibilitatea ofertantului; </w:t>
      </w:r>
    </w:p>
    <w:p w14:paraId="2BF13C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capacitatea economică și financiară; </w:t>
      </w:r>
    </w:p>
    <w:p w14:paraId="557DAA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capacitatea tehnică și profesională; </w:t>
      </w:r>
    </w:p>
    <w:p w14:paraId="238AEEE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standardele de asigurare a calității; </w:t>
      </w:r>
    </w:p>
    <w:p w14:paraId="5A6C36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respectarea normelor de securitate și protecția mediului. </w:t>
      </w:r>
    </w:p>
    <w:p w14:paraId="0E8A6AED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D2AEFD3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2. Criteriul de atribuire</w:t>
      </w:r>
    </w:p>
    <w:p w14:paraId="08AD3A6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Contractul va fi atribuit ofertei celei mai avantajoase din punct de vedere economic, aplicând criteriul: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cel mai bun raport calitate-preț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, cu luarea în considerare a următorilor factori:</w:t>
      </w:r>
    </w:p>
    <w:p w14:paraId="460BFFC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prețul ofertat; </w:t>
      </w:r>
    </w:p>
    <w:p w14:paraId="38EDD8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termenul de execuție; </w:t>
      </w:r>
    </w:p>
    <w:p w14:paraId="38771B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garanția oferită; </w:t>
      </w:r>
    </w:p>
    <w:p w14:paraId="2F69A4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condițiile de plată; </w:t>
      </w:r>
    </w:p>
    <w:p w14:paraId="4BB4AA3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disponibilitatea acceptării plății în regim de barter și procentul propus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. </w:t>
      </w:r>
    </w:p>
    <w:p w14:paraId="3DB7EEED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Notă: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 Ofertele care includ posibilitatea achitării parțiale prin bunuri imobile vor beneficia de un avantaj competitiv în procesul de evaluare.</w:t>
      </w:r>
    </w:p>
    <w:p w14:paraId="5E5C27C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9E01C0B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3. Capacitatea economico-financiară</w:t>
      </w:r>
    </w:p>
    <w:p w14:paraId="1FB4AEF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 prezenta documente justificative privind:</w:t>
      </w:r>
    </w:p>
    <w:p w14:paraId="69078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valoarea cumulativă a contractelor executate în ultimul an ≥ valoarea contractului ofertat; </w:t>
      </w:r>
    </w:p>
    <w:p w14:paraId="67F926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lichiditatea generală ≥ 100%; </w:t>
      </w:r>
    </w:p>
    <w:p w14:paraId="5A73A4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declarații bancare / dovezi privind asigurarea riscului profesional; </w:t>
      </w:r>
    </w:p>
    <w:p w14:paraId="0C8EF22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situații financiare pentru perioada anterioară, avizate de organele competente; </w:t>
      </w:r>
    </w:p>
    <w:p w14:paraId="255163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posibilitatea acordării unei vacanțe de plată de minim 2 luni; </w:t>
      </w:r>
    </w:p>
    <w:p w14:paraId="6B60F9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oferirea garanțiilor de bună execuție a lucrărilor; </w:t>
      </w:r>
    </w:p>
    <w:p w14:paraId="696DC65D">
      <w:pPr>
        <w:pStyle w:val="4"/>
        <w:rPr>
          <w:lang w:val="ro-RO"/>
        </w:rPr>
      </w:pPr>
      <w:r>
        <w:rPr>
          <w:rStyle w:val="7"/>
          <w:b/>
          <w:bCs/>
          <w:lang w:val="ro-RO"/>
        </w:rPr>
        <w:t>Colaborare în regim de barter (criteriu preferențial)</w:t>
      </w:r>
    </w:p>
    <w:p w14:paraId="3294B3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Beneficiarul încurajează ofertele care includ </w:t>
      </w:r>
      <w:r>
        <w:rPr>
          <w:rStyle w:val="7"/>
          <w:rFonts w:ascii="Times New Roman" w:hAnsi="Times New Roman" w:cs="Times New Roman"/>
          <w:sz w:val="24"/>
          <w:szCs w:val="24"/>
          <w:lang w:val="ro-RO"/>
        </w:rPr>
        <w:t xml:space="preserve">acceptarea plății 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integral sau </w:t>
      </w:r>
      <w:r>
        <w:rPr>
          <w:rStyle w:val="7"/>
          <w:rFonts w:ascii="Times New Roman" w:hAnsi="Times New Roman" w:cs="Times New Roman"/>
          <w:sz w:val="24"/>
          <w:szCs w:val="24"/>
          <w:lang w:val="ro-RO"/>
        </w:rPr>
        <w:t>parțial prin mecanism de compensare (barter)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în schimbul bunurilor imobile (apartamente și/sau spații comerciale) din cadrul ansamblului rezidențial „Horus City”. </w:t>
      </w:r>
    </w:p>
    <w:p w14:paraId="50B18A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Ofertantul va indica: </w:t>
      </w:r>
      <w:bookmarkStart w:id="0" w:name="_GoBack"/>
      <w:bookmarkEnd w:id="0"/>
    </w:p>
    <w:p w14:paraId="59B223A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procentul din valoarea contractului acceptat în barter; </w:t>
      </w:r>
    </w:p>
    <w:p w14:paraId="1E2E8C0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condițiile de evaluare a bunurilor (preț/m², stadiu, termen de transmitere); </w:t>
      </w:r>
    </w:p>
    <w:p w14:paraId="51EF6F8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tipologia preferată a bunurilor. </w:t>
      </w:r>
    </w:p>
    <w:p w14:paraId="097B43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Style w:val="7"/>
          <w:rFonts w:ascii="Times New Roman" w:hAnsi="Times New Roman" w:cs="Times New Roman"/>
          <w:sz w:val="24"/>
          <w:szCs w:val="24"/>
          <w:lang w:val="ro-RO"/>
        </w:rPr>
        <w:t>Pentru evaluarea ofertelor, se recomandă un nivel orientativ de acceptare a barterului de minim 20–30% din valoarea contractului.</w:t>
      </w:r>
      <w:r>
        <w:rPr>
          <w:rFonts w:ascii="Times New Roman" w:hAnsi="Times New Roman" w:cs="Times New Roman"/>
          <w:sz w:val="24"/>
          <w:szCs w:val="24"/>
          <w:lang w:val="ro-RO"/>
        </w:rPr>
        <w:br w:type="textWrapping"/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Ofertele care propun un procent mai mare pot beneficia de un punctaj suplimentar. </w:t>
      </w:r>
    </w:p>
    <w:p w14:paraId="208232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Valoarea bunurilor imobile va fi stabilită de comun acord, conform prețurilor de piață și grilelor interne ale Beneficiarului. </w:t>
      </w:r>
    </w:p>
    <w:p w14:paraId="74E7B5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Condițiile concrete de compensare vor fi reglementate în contractul de antrepriză.</w:t>
      </w:r>
    </w:p>
    <w:p w14:paraId="50CDE2A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2A229AE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4. Capacitatea tehnică și profesională</w:t>
      </w:r>
    </w:p>
    <w:p w14:paraId="7602FABC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 prezenta:</w:t>
      </w:r>
    </w:p>
    <w:p w14:paraId="1108C3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volumul lucrărilor executate în anii 2023–2025; </w:t>
      </w:r>
    </w:p>
    <w:p w14:paraId="41878CD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lista lucrărilor similare (rețele termice, conducte magistrale, diametre ≥ DN500); </w:t>
      </w:r>
    </w:p>
    <w:p w14:paraId="0E7223E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date privind obiectele realizate (valoare, durată, beneficiar, contacte); </w:t>
      </w:r>
    </w:p>
    <w:p w14:paraId="51AA0E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dotări tehnice: utilaje de ridicare, echipamente de sudură, transport; </w:t>
      </w:r>
    </w:p>
    <w:p w14:paraId="63CDF4F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personal calificat (sudori autorizați, ingineri); </w:t>
      </w:r>
    </w:p>
    <w:p w14:paraId="629A13E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grafic de execuție a lucrărilor; </w:t>
      </w:r>
    </w:p>
    <w:p w14:paraId="3BE4FB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termen de garanție; </w:t>
      </w:r>
    </w:p>
    <w:p w14:paraId="6766293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certificate de conformitate pentru materiale și echipamente. </w:t>
      </w:r>
    </w:p>
    <w:p w14:paraId="66EA6720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AFCBAB8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5. Standarde de calitate</w:t>
      </w:r>
    </w:p>
    <w:p w14:paraId="1BB6985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 prezenta:</w:t>
      </w:r>
    </w:p>
    <w:p w14:paraId="1CD818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certificare ISO 9001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(preferential)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4E5D500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manualul calității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(obligatoriu)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0525C2B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proceduri tehnologice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(obligatoriu)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5D443B2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aviz de la Inspectoratul Național pentru Supraveghere Tehnică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(preferential)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73073C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recomandări de la beneficiari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(obligatoriu)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. </w:t>
      </w:r>
    </w:p>
    <w:p w14:paraId="620440C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D050FA1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6. Securitate și mediu</w:t>
      </w:r>
    </w:p>
    <w:p w14:paraId="7BA1BB8A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 asigura:</w:t>
      </w:r>
    </w:p>
    <w:p w14:paraId="5F33D1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respectarea normelor de securitate și sănătate în muncă; </w:t>
      </w:r>
    </w:p>
    <w:p w14:paraId="188346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protecția mediului; </w:t>
      </w:r>
    </w:p>
    <w:p w14:paraId="5094B09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măsuri de siguranță în zona lucrărilor. </w:t>
      </w:r>
    </w:p>
    <w:p w14:paraId="2DBA073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203C9E2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7. Eligibilitatea ofertantului</w:t>
      </w:r>
    </w:p>
    <w:p w14:paraId="3192C8D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Se vor prezenta:</w:t>
      </w:r>
    </w:p>
    <w:p w14:paraId="1695BF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certificatul de înregistrare; </w:t>
      </w:r>
    </w:p>
    <w:p w14:paraId="69FD15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extras din Registrul de Stat; </w:t>
      </w:r>
    </w:p>
    <w:p w14:paraId="2EB72DD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date generale ale companiei; </w:t>
      </w:r>
    </w:p>
    <w:p w14:paraId="568B3AF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informații privind litigii în derulare. </w:t>
      </w:r>
    </w:p>
    <w:p w14:paraId="1791175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2C64EFA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8. Condiții contractuale</w:t>
      </w:r>
    </w:p>
    <w:p w14:paraId="25DCD46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Lucrările vor fi executate la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preț forfetar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614399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Documentația de proiect va fi pusă la dispoziția ofertantului; </w:t>
      </w:r>
    </w:p>
    <w:p w14:paraId="47FB20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Ofertantul va verifica și confirma volumele de lucrări. </w:t>
      </w:r>
    </w:p>
    <w:p w14:paraId="31617280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8F9BB32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9. Verificarea informațiilor</w:t>
      </w:r>
    </w:p>
    <w:p w14:paraId="6227210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Beneficiarul își rezervă dreptul de a verifica exactitatea informațiilor prezentate.</w:t>
      </w:r>
    </w:p>
    <w:p w14:paraId="21FEBD8B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EF4089E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10. Cheltuieli de participare</w:t>
      </w:r>
    </w:p>
    <w:p w14:paraId="4FFAF3E4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Toate cheltuielile pentru elaborarea ofertei sunt suportate de ofertant.</w:t>
      </w:r>
    </w:p>
    <w:p w14:paraId="167DA839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949F20E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Documentația pusă la dispoziție:</w:t>
      </w:r>
    </w:p>
    <w:p w14:paraId="5310D1C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planuri și scheme rețele termice (segment PL304–PL342); </w:t>
      </w:r>
    </w:p>
    <w:p w14:paraId="60D3C44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liste cantități lucrări; </w:t>
      </w:r>
    </w:p>
    <w:p w14:paraId="3897B53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detalii tehnice de execuție. </w:t>
      </w:r>
    </w:p>
    <w:p w14:paraId="303A647D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D8EF617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Mențiuni privind ofertarea</w:t>
      </w:r>
    </w:p>
    <w:p w14:paraId="6F9050E3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va:</w:t>
      </w:r>
    </w:p>
    <w:p w14:paraId="6547A6A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analiza documentația; </w:t>
      </w:r>
    </w:p>
    <w:p w14:paraId="2999D0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confirma volumele de lucrări; </w:t>
      </w:r>
    </w:p>
    <w:p w14:paraId="40ED1FF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indica eventuale diferențe separat în ofertă. </w:t>
      </w:r>
    </w:p>
    <w:p w14:paraId="7AA30E6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D53E998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Perioada estimativă de execuție 20 mai- 15 octombrie 2026</w:t>
      </w:r>
    </w:p>
    <w:p w14:paraId="7C04F33E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(se va concretiza  la etapa condractării lucrărilor)</w:t>
      </w:r>
    </w:p>
    <w:p w14:paraId="07F5DC3C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5BFB9DF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Termen limită de prezentare a ofertelor</w:t>
      </w:r>
    </w:p>
    <w:p w14:paraId="0538312C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15 Mai 2026</w:t>
      </w:r>
    </w:p>
    <w:p w14:paraId="3FAA9A24">
      <w:pPr>
        <w:rPr>
          <w:lang w:val="en-US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pict>
          <v:rect id="_x0000_i103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736444"/>
    <w:multiLevelType w:val="multilevel"/>
    <w:tmpl w:val="1E73644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20661930"/>
    <w:multiLevelType w:val="multilevel"/>
    <w:tmpl w:val="2066193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28E51571"/>
    <w:multiLevelType w:val="multilevel"/>
    <w:tmpl w:val="28E515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4056095"/>
    <w:multiLevelType w:val="multilevel"/>
    <w:tmpl w:val="340560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3FC77772"/>
    <w:multiLevelType w:val="multilevel"/>
    <w:tmpl w:val="3FC7777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4E665D48"/>
    <w:multiLevelType w:val="multilevel"/>
    <w:tmpl w:val="4E665D4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55DB0D54"/>
    <w:multiLevelType w:val="multilevel"/>
    <w:tmpl w:val="55DB0D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645A0C66"/>
    <w:multiLevelType w:val="multilevel"/>
    <w:tmpl w:val="645A0C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6BA26A9C"/>
    <w:multiLevelType w:val="multilevel"/>
    <w:tmpl w:val="6BA26A9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70A52943"/>
    <w:multiLevelType w:val="multilevel"/>
    <w:tmpl w:val="70A5294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78603D67"/>
    <w:multiLevelType w:val="multilevel"/>
    <w:tmpl w:val="78603D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9"/>
  </w:num>
  <w:num w:numId="7">
    <w:abstractNumId w:val="7"/>
  </w:num>
  <w:num w:numId="8">
    <w:abstractNumId w:val="8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CE3"/>
    <w:rsid w:val="004549A0"/>
    <w:rsid w:val="008615FF"/>
    <w:rsid w:val="009A4DA2"/>
    <w:rsid w:val="00A44510"/>
    <w:rsid w:val="00B61CE3"/>
    <w:rsid w:val="00ED524C"/>
    <w:rsid w:val="00FD5427"/>
    <w:rsid w:val="02CF258C"/>
    <w:rsid w:val="13A8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9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2"/>
    <w:basedOn w:val="1"/>
    <w:link w:val="10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3"/>
    <w:basedOn w:val="1"/>
    <w:link w:val="11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22"/>
    <w:rPr>
      <w:b/>
      <w:bCs/>
    </w:r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Заголовок 1 Знак"/>
    <w:basedOn w:val="5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2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1">
    <w:name w:val="Заголовок 3 Знак"/>
    <w:basedOn w:val="5"/>
    <w:link w:val="4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2">
    <w:name w:val="whitespace-normal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620</Words>
  <Characters>4181</Characters>
  <Lines>34</Lines>
  <Paragraphs>9</Paragraphs>
  <TotalTime>26</TotalTime>
  <ScaleCrop>false</ScaleCrop>
  <LinksUpToDate>false</LinksUpToDate>
  <CharactersWithSpaces>4767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2026-04-29T14:26:00Z</dcterms:created>
  <dc:creator>Ana Munteanu</dc:creator>
  <cp:lastModifiedBy>a.munteanu</cp:lastModifiedBy>
  <dcterms:modified xsi:type="dcterms:W3CDTF">2026-04-30T12:18:41Z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eyJoZGlkIjoiZjNkYTk3YjEzNDZlMzMzNWIwYjE0MjJkYTRkNjhjNTgifQ==</vt:lpwstr>
  </property>
  <property fmtid="{D5CDD505-2E9C-101B-9397-08002B2CF9AE}" pid="3" name="KSOProductBuildVer">
    <vt:lpwstr>1049-12.1.0.25242</vt:lpwstr>
  </property>
  <property fmtid="{D5CDD505-2E9C-101B-9397-08002B2CF9AE}" pid="4" name="ICV">
    <vt:lpwstr>48662BFD2C604B1B9B298710E9DEA7CC_13</vt:lpwstr>
  </property>
</Properties>
</file>