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textAlignment w:val="auto"/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  <w:t>Specificații tehnice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jc w:val="center"/>
        <w:textAlignment w:val="auto"/>
        <w:rPr>
          <w:rFonts w:hint="default" w:ascii="Times New Roman" w:hAnsi="Times New Roman" w:cs="Times New Roman"/>
          <w:i/>
          <w:iCs/>
        </w:rPr>
      </w:pPr>
      <w:r>
        <w:rPr>
          <w:rFonts w:hint="default" w:ascii="Times New Roman" w:hAnsi="Times New Roman" w:cs="Times New Roman"/>
          <w:i/>
          <w:iCs/>
        </w:rPr>
        <w:t>[Acest tabel va fi completat de către ofertant în coloanele 2, 3, 4, 6, 7, iar de către autoritatea contractantă – în coloanele 1, 5,]</w:t>
      </w:r>
    </w:p>
    <w:tbl>
      <w:tblPr>
        <w:tblStyle w:val="6"/>
        <w:tblW w:w="0" w:type="auto"/>
        <w:tblInd w:w="10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70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70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Numărul procedurii de achiziție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              </w:t>
            </w:r>
            <w:r>
              <w:rPr>
                <w:rFonts w:hint="default" w:ascii="Times New Roman" w:hAnsi="Times New Roman" w:cs="Times New Roman"/>
                <w:vertAlign w:val="baseline"/>
              </w:rPr>
              <w:t xml:space="preserve"> din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  <w:lang/>
              </w:rPr>
              <w:t>16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>.0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  <w:lang/>
              </w:rPr>
              <w:t>7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.2026 </w:t>
            </w:r>
            <w:r>
              <w:rPr>
                <w:rFonts w:hint="default" w:ascii="Times New Roman" w:hAnsi="Times New Roman" w:cs="Times New Roman"/>
                <w:u w:val="none"/>
                <w:vertAlign w:val="baseline"/>
              </w:rPr>
              <w:t xml:space="preserve"> 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firstLine="3040" w:firstLineChars="190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r>
              <w:rPr>
                <w:rFonts w:hint="default" w:ascii="Times New Roman" w:hAnsi="Times New Roman"/>
                <w:i/>
                <w:iCs/>
                <w:color w:val="000000" w:themeColor="text1"/>
                <w:sz w:val="16"/>
                <w:szCs w:val="16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  <w:t>(MTender ID-ul procedurii)          (data publicării)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70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Obiectul achiziției: </w:t>
            </w:r>
            <w:r>
              <w:rPr>
                <w:rFonts w:hint="default" w:ascii="Times New Roman" w:hAnsi="Times New Roman"/>
                <w:u w:val="single"/>
                <w:vertAlign w:val="baseline"/>
              </w:rPr>
              <w:t>Servicii de expertiză tehnică a obiectelor industriale potențial periculoase</w:t>
            </w:r>
          </w:p>
        </w:tc>
      </w:tr>
    </w:tbl>
    <w:p>
      <w:pPr>
        <w:rPr>
          <w:rFonts w:hint="default" w:ascii="Times New Roman" w:hAnsi="Times New Roman" w:cs="Times New Roman"/>
        </w:rPr>
      </w:pPr>
    </w:p>
    <w:tbl>
      <w:tblPr>
        <w:tblStyle w:val="6"/>
        <w:tblW w:w="0" w:type="auto"/>
        <w:tblInd w:w="10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4"/>
        <w:gridCol w:w="3035"/>
        <w:gridCol w:w="1828"/>
        <w:gridCol w:w="1128"/>
        <w:gridCol w:w="1380"/>
        <w:gridCol w:w="3196"/>
        <w:gridCol w:w="3197"/>
        <w:gridCol w:w="138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Nr. crt.</w:t>
            </w:r>
          </w:p>
        </w:tc>
        <w:tc>
          <w:tcPr>
            <w:tcW w:w="303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182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112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Ţara de origine</w:t>
            </w:r>
          </w:p>
        </w:tc>
        <w:tc>
          <w:tcPr>
            <w:tcW w:w="138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Producătorul</w:t>
            </w:r>
          </w:p>
        </w:tc>
        <w:tc>
          <w:tcPr>
            <w:tcW w:w="319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319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138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Standarde de referinţă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03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2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2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38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19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19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38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705" w:type="dxa"/>
            <w:gridSpan w:val="8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vertAlign w:val="baseline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vertAlign w:val="baseline"/>
              </w:rPr>
              <w:t xml:space="preserve">LOT 1. </w:t>
            </w:r>
            <w:r>
              <w:rPr>
                <w:rFonts w:hint="default" w:ascii="Times New Roman" w:hAnsi="Times New Roman"/>
                <w:b/>
                <w:bCs/>
                <w:sz w:val="20"/>
                <w:szCs w:val="20"/>
                <w:vertAlign w:val="baseline"/>
              </w:rPr>
              <w:t>Servicii de expertiză tehnică a obiectelor industriale potențial periculoase</w:t>
            </w:r>
            <w:r>
              <w:rPr>
                <w:rFonts w:hint="default" w:ascii="Times New Roman" w:hAnsi="Times New Roman"/>
                <w:b/>
                <w:bCs/>
                <w:sz w:val="20"/>
                <w:szCs w:val="20"/>
                <w:vertAlign w:val="baseline"/>
                <w:lang/>
              </w:rPr>
              <w:t xml:space="preserve"> </w:t>
            </w:r>
            <w:r>
              <w:rPr>
                <w:rFonts w:hint="default" w:ascii="Times New Roman" w:hAnsi="Times New Roman"/>
                <w:b/>
                <w:bCs/>
                <w:sz w:val="20"/>
                <w:szCs w:val="20"/>
                <w:vertAlign w:val="baseline"/>
              </w:rPr>
              <w:t>(cu scopul prelungirii termenului de exploatare)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Expertiza tehnică a cazanului de abur ГМ-40/39, nr. 2, nr. de înregistrare 213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>Servicii de expertiză tehnică a cazanului de abur ГМ-40/39, nr. 2, nr. de înregistrare 213. Parametrii tehnici a utilajului: Tip: Un singur tambur, tub de apă vertical. Presiunea aburului în tambur: 44 kgf/cm². Temperatura calculată a aburului supraîncălzit: 440℃. Diametrul și grosimea peretelui tamburului: 1512×44 mm. Țevi ecran: Ø83×4. Țevi economizor apă: Ø28×4. Țevi supraîncălzitor (treapta I): Ø38×3,5. Țevi supraîncălzitor (treapta II): Ø42×3,5.</w:t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>Serviciile de expertiză solicitate nu trebuie să includă serviciile de diagnostică tehnică.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Expertiza tehnică a cazanului de abur БКЗ 75/39, nr. 4, nr. de înregistrare 1119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 xml:space="preserve">Servicii de expertiză tehnică a cazanului de abur БКЗ 75/39, nr. 4, nr. de înregistrare 1119. Parametrii tehnici a utilajului: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Tip: Un singur tambur, tub de apă vertical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 xml:space="preserve">.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Presiunea aburului în tambur: 44 kgf/cm²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 xml:space="preserve">.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Temperatura calculată a aburului supraîncălzit: 440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 xml:space="preserve">℃.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Diametrul și grosimea peretelui tamburului: 1592×44 mm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 xml:space="preserve">.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Țevi ecran: Ø60×3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 xml:space="preserve">.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Țevi economizor apă: Ø32×3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 xml:space="preserve">.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Țevi supraîncălzitor (treapta I): Ø38×3,5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 xml:space="preserve">.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Țevi supraîncălzitor (treapta II): Ø42×3,5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>.</w:t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ru-RU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ru-RU" w:eastAsia="ro-RO"/>
              </w:rPr>
              <w:t>Serviciile de expertiză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 xml:space="preserve"> solicitate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ru-RU" w:eastAsia="ro-RO"/>
              </w:rPr>
              <w:t xml:space="preserve"> nu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 xml:space="preserve"> trebuie să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ru-RU" w:eastAsia="ro-RO"/>
              </w:rPr>
              <w:t xml:space="preserve"> includ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>ă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ru-RU" w:eastAsia="ro-RO"/>
              </w:rPr>
              <w:t xml:space="preserve"> serviciile de diagnostică tehnică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>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Expertiza tehnică a cazanului de abur БКЗ 75/39, nr. 5, nr. de înregistrare 1586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 xml:space="preserve">Servicii de expertiză tehnică a cazanului de abur БКЗ 75/39, nr. 5, nr. de înregistrare 1586. Parametrii tehnici a utilajului: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Tip: Un singur tambur, tub de apă vertical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 xml:space="preserve">.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Presiunea aburului în tambur: 44 kgf/cm²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 xml:space="preserve">.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Temperatura calculată a aburului supraîncălzit: 440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 xml:space="preserve">℃.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Diametrul și grosimea peretelui tamburului: 1592×44 mm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 xml:space="preserve">.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Țevi ecran: Ø60×3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 xml:space="preserve">.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Țevi economizor apă: Ø32×3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 xml:space="preserve">.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Țevi supraîncălzitor (treapta I): Ø38×3,5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 xml:space="preserve">.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Țevi supraîncălzitor (treapta II): Ø42×3,5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>.</w:t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ru-RU" w:eastAsia="ro-RO"/>
              </w:rPr>
              <w:t>Serviciile de expertiză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 xml:space="preserve"> solicitate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ru-RU" w:eastAsia="ro-RO"/>
              </w:rPr>
              <w:t xml:space="preserve"> nu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 xml:space="preserve"> trebuie să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ru-RU" w:eastAsia="ro-RO"/>
              </w:rPr>
              <w:t xml:space="preserve"> includ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>ă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ru-RU" w:eastAsia="ro-RO"/>
              </w:rPr>
              <w:t xml:space="preserve"> serviciile de diagnostică tehnică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>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Expertiza tehnică a cazanului de abur БКЗ 75/39, nr. 6, nr. de înregistrare 2731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 xml:space="preserve">Servicii de expertiză tehnică a cazanului de abur БКЗ 75/39, nr. 6, nr. de înregistrare 2731. Parametrii tehnici a utilajului: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Tip: Un singur tambur, tub de apă vertical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 xml:space="preserve">.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Presiunea aburului în tambur: 44 kgf/cm²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 xml:space="preserve">.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Temperatura calculată a aburului supraîncălzit: 440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 xml:space="preserve">℃.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Diametrul și grosimea peretelui tamburului: 1500×40 mm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 xml:space="preserve">.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Țevi ecran: Ø60×3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 xml:space="preserve">.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Țevi economizor apă: Ø32×3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 xml:space="preserve">.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Țevi supraîncălzitor (treapta I): Ø38×3,5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 xml:space="preserve">.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Țevi supraîncălzitor (treapta II): Ø42×3,5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>.</w:t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ru-RU" w:eastAsia="ro-RO"/>
              </w:rPr>
              <w:t>Serviciile de expertiză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 xml:space="preserve"> solicitate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ru-RU" w:eastAsia="ro-RO"/>
              </w:rPr>
              <w:t xml:space="preserve"> nu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 xml:space="preserve"> trebuie să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ru-RU" w:eastAsia="ro-RO"/>
              </w:rPr>
              <w:t xml:space="preserve"> includ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>ă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ru-RU" w:eastAsia="ro-RO"/>
              </w:rPr>
              <w:t xml:space="preserve"> serviciile de diagnostică tehnică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>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Expertiza tehnică a colectorului de abur al cazanelor, nr. de înregistrare 1120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>Servicii de expertiză tehnică a c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olector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>ului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 xml:space="preserve"> de abur al cazanelor, nr. de înregistrare 1120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 xml:space="preserve">. Parametrii tehnici a utilajului: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Presiune admisă: 39,0 kgf/cm²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 xml:space="preserve">.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Temperatura admisă: 450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 xml:space="preserve">℃.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Diametru și lungimea conductei de abur: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 xml:space="preserve">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Ø273×11– 42 metri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  <w:t>.</w:t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ru-RU" w:eastAsia="ro-RO"/>
              </w:rPr>
              <w:t>Serviciile de expertiză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 xml:space="preserve"> solicitate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ru-RU" w:eastAsia="ro-RO"/>
              </w:rPr>
              <w:t xml:space="preserve"> nu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 xml:space="preserve"> trebuie să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ru-RU" w:eastAsia="ro-RO"/>
              </w:rPr>
              <w:t xml:space="preserve"> includ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>ă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ru-RU" w:eastAsia="ro-RO"/>
              </w:rPr>
              <w:t xml:space="preserve"> serviciile de diagnostică tehnică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>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Expertiza tehnică a colectorului de abur al cazanelor, nr. de  înregistrare 217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 xml:space="preserve">Servicii de expertiză tehnică a colectorului de abur al cazanelor, nr. de  înregistrare 217. Parametrii tehnici a utilajului: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Presiune admisă: 39,0 kgf/cm²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 xml:space="preserve">.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Temperatura admisă: 450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 xml:space="preserve">℃.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Diametru și lungimea conductei de abur: Ø219×8 – 54,9 metri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>.</w:t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ru-RU" w:eastAsia="ro-RO"/>
              </w:rPr>
              <w:t>Serviciile de expertiză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 xml:space="preserve"> solicitate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ru-RU" w:eastAsia="ro-RO"/>
              </w:rPr>
              <w:t xml:space="preserve"> nu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 xml:space="preserve"> trebuie să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ru-RU" w:eastAsia="ro-RO"/>
              </w:rPr>
              <w:t xml:space="preserve"> includ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>ă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ru-RU" w:eastAsia="ro-RO"/>
              </w:rPr>
              <w:t xml:space="preserve"> serviciile de diagnostică tehnică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>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Expertiza tehnică a colectorului de alimentare al agregatelor de cazane, nr. de înregistrare 1121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 xml:space="preserve">Servicii de expertiză tehnică a colectorului de alimentare al agregatelor de cazane, nr. de înregistrare 1121. Parametrii tehnici a utilajului: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Presiune admisă: 64,0 kgf/cm²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 xml:space="preserve">.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Temperatura admisă: 150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 xml:space="preserve">℃.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Diametru și lungimea conductei de ap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>ă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: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 xml:space="preserve">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Ø159х7 – 212,7 metri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  <w:t>.</w:t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ru-RU" w:eastAsia="ro-RO"/>
              </w:rPr>
              <w:t>Serviciile de expertiză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 xml:space="preserve"> solicitate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ru-RU" w:eastAsia="ro-RO"/>
              </w:rPr>
              <w:t xml:space="preserve"> nu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 xml:space="preserve"> trebuie să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ru-RU" w:eastAsia="ro-RO"/>
              </w:rPr>
              <w:t xml:space="preserve"> includ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>ă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ru-RU" w:eastAsia="ro-RO"/>
              </w:rPr>
              <w:t xml:space="preserve"> serviciile de diagnostică tehnică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>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Expertiza tehnică a colectorului de alimentare al agregatelor de cazane, nr. de înregistrare 217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 xml:space="preserve">Servicii de expertiză tehnică a colectorului de alimentare al agregatelor de cazane, nr. de înregistrare 217. Parametrii tehnici a utilajului: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Presiune admisă: 59,0 kgf/cm²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 xml:space="preserve">.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Temperatura admisă: 150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 xml:space="preserve">℃.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Diametru și lungimea conductei de ap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>ă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: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 xml:space="preserve">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Ø159х8 – 103,0 metri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  <w:t>.</w:t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ru-RU" w:eastAsia="ro-RO"/>
              </w:rPr>
              <w:t>Serviciile de expertiză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 xml:space="preserve"> solicitate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ru-RU" w:eastAsia="ro-RO"/>
              </w:rPr>
              <w:t xml:space="preserve"> nu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 xml:space="preserve"> trebuie să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ru-RU" w:eastAsia="ro-RO"/>
              </w:rPr>
              <w:t xml:space="preserve"> includ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>ă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ru-RU" w:eastAsia="ro-RO"/>
              </w:rPr>
              <w:t xml:space="preserve"> serviciile de diagnostică tehnică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>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Expertiza tehnică a colectorului de presiune al pompelor de alimentare, nr. de înregistrare 7693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 xml:space="preserve">Servicii de expertiză tehnică a colectorului de presiune al pompelor de alimentare, nr. de înregistrare 7693. Parametrii tehnici a utilajului: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Presiune admisă: 64,0 kgf/cm²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 xml:space="preserve">.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Temperatura admisă: 145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 xml:space="preserve">℃.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Diametru și lungimea conductei de ap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>ă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: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 xml:space="preserve">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Ø159х9 – 109,6 metri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  <w:t>.</w:t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ru-RU" w:eastAsia="ro-RO"/>
              </w:rPr>
              <w:t>Serviciile de expertiză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 xml:space="preserve"> solicitate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ru-RU" w:eastAsia="ro-RO"/>
              </w:rPr>
              <w:t xml:space="preserve"> nu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 xml:space="preserve"> trebuie să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ru-RU" w:eastAsia="ro-RO"/>
              </w:rPr>
              <w:t xml:space="preserve"> includ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>ă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ru-RU" w:eastAsia="ro-RO"/>
              </w:rPr>
              <w:t xml:space="preserve"> serviciile de diagnostică tehnică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>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Expertiza tehnică a schimbătorului de căldură ПБ-3, nr. de înregistrare 7796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 xml:space="preserve">Servicii de expertiză tehnică a schimbătorului de căldură ПБ-3, nr. de înregistrare 7796. Parametrii tehnici a utilajului: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Presiune admisibilă a aburului: 7 kgf/cm2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 xml:space="preserve">.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Presiune admisibilă a apei: 15 kgf/cm2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 xml:space="preserve">.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Temperatură admisibilă a aburului: 400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 xml:space="preserve">℃.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Temperatură admisibilă a apei: 150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>℃.</w:t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ru-RU" w:eastAsia="ro-RO"/>
              </w:rPr>
              <w:t>Serviciile de expertiză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 xml:space="preserve"> solicitate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ru-RU" w:eastAsia="ro-RO"/>
              </w:rPr>
              <w:t xml:space="preserve"> nu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 xml:space="preserve"> trebuie să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ru-RU" w:eastAsia="ro-RO"/>
              </w:rPr>
              <w:t xml:space="preserve"> includ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>ă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ru-RU" w:eastAsia="ro-RO"/>
              </w:rPr>
              <w:t xml:space="preserve"> serviciile de diagnostică tehnică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>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705" w:type="dxa"/>
            <w:gridSpan w:val="8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vertAlign w:val="baseline"/>
              </w:rPr>
              <w:t xml:space="preserve">LOT </w:t>
            </w: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vertAlign w:val="baseline"/>
                <w:lang/>
              </w:rPr>
              <w:t>2</w:t>
            </w: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vertAlign w:val="baseline"/>
              </w:rPr>
              <w:t xml:space="preserve">. </w:t>
            </w:r>
            <w:r>
              <w:rPr>
                <w:rFonts w:hint="default" w:ascii="Times New Roman" w:hAnsi="Times New Roman"/>
                <w:b/>
                <w:bCs/>
                <w:sz w:val="20"/>
                <w:szCs w:val="20"/>
                <w:vertAlign w:val="baseline"/>
              </w:rPr>
              <w:t>Servicii de inspecție tehnică a obiectelor industriale potențial periculoase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Inspecția tehnică a cazanului de abur ГМ-40/39, nr.3, nr. de înregistrare 787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ru-RU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>Servicii de i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nspecți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>e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 xml:space="preserve"> tehnică a cazanului de abur ГМ-40/39, nr.3, nr. de înregistrare 787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>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Inspecția tehnică a recipientului ПБ-1, nr. de înregistrare 10194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>Servicii de i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nspecți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 xml:space="preserve">e tehnică a recipientului ПБ-1, nr.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de înregistrare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 xml:space="preserve"> 10194.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Inspecția tehnică a preîncălzitorului de presiune înaltă ПВД-1, nr. de înregistrare 10151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>Servicii de i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nspecți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 xml:space="preserve">e tehnică a preîncălzitorului de presiune înaltă ПВД-1, nr.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de înregistrare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 xml:space="preserve"> 10151.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Inspecția tehnică a conductei de abur П-отбора ТГ-1, nr. de înregistrare 80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>Servicii de i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nspecți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 xml:space="preserve">e tehnică a conductei de abur П-отбора ТГ-1, nr.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de înregistrare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 xml:space="preserve"> 80.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Inspecția tehnică a instalației de reducere și răcire a aburului РОУ-1 с п/п высокая сторона, nr. de înregistrare 2330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>Servicii de i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nspecți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 xml:space="preserve">e tehnică a instalației de reducere și răcire a aburului РОУ-1 с п/п высокая сторона, nr.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de înregistrare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 xml:space="preserve"> 2330.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Inspecția tehnică a conductei de abur РОУ-1 (низкая сторона), nr. de înregistrare 2650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>Servicii de i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nspecți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 xml:space="preserve">e tehnică a conductei de abur РОУ-1 (низкая сторона), nr.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de înregistrare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 xml:space="preserve"> 2650.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Inspecția tehnică a colectorului de alimentare/ Питательный коллектор КА, nr. de înregistrare 2733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>Servicii de i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nspecți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 xml:space="preserve">e tehnică a colectorului de alimentare/ Питательный коллектор КА, nr.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de înregistrare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 xml:space="preserve"> 2733.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Inspecția tehnică a instalației de reducere și răcire a aburului РОУ-5, nr. de înregistrare 3273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>Servicii de i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nspecți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 xml:space="preserve">e tehnică a instalației de reducere și răcire a aburului РОУ-5, nr.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de înregistrare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 xml:space="preserve"> 3273.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Inspecția tehnică a conductei de abur РОУ-5 (высокая и низкая сторона), nr. de înregistrare 3279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>Servicii de i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nspecți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 xml:space="preserve">e tehnică a conductei de abur РОУ-5 (высокая и низкая сторона), nr.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de înregistrare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 xml:space="preserve"> 3279.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Inspecția tehnică a conductei de abur/ Паропровод ТГ-4 (низкая сторона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ro-RO" w:eastAsia="ru-RU"/>
              </w:rPr>
              <w:t xml:space="preserve">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8 ати,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ro-RO" w:eastAsia="ru-RU"/>
              </w:rPr>
              <w:t xml:space="preserve">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паропровод ПБ-3), nr. de înregistrare 3280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>Servicii de i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nspecți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>e tehnică a conductei de abur/ Паропровод ТГ-4 (низкая сторона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ro-RO" w:eastAsia="ro-RO"/>
              </w:rPr>
              <w:t xml:space="preserve">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>8 ати,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ro-RO" w:eastAsia="ro-RO"/>
              </w:rPr>
              <w:t xml:space="preserve">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 xml:space="preserve">паропровод ПБ-3), nr.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de înregistrare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 xml:space="preserve"> 3280.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Inspecția tehnică a conductei de abur/ Паропровод к/а №2, nr. de înregistrare 4166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>Servicii de i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nspecți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 xml:space="preserve">e tehnică a conductei de abur/ Паропровод к/а №2, nr.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de înregistrare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 xml:space="preserve"> 4166.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Inspecția tehnică a conductei de abur/ Паропровод к/а № 4, nr. de înregistrare 7453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>Servicii de i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nspecți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 xml:space="preserve">e tehnică a conductei de abur/ Паропровод к/а № 4, nr.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de înregistrare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 xml:space="preserve"> 7453.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Inspecția tehnică a colectorului de abur/Паровой коллектор котлов, nr. de înregistrare 7559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>Servicii de i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nspecți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 xml:space="preserve">e tehnică a colectorului de abur/Паровой коллектор котлов, nr.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de înregistrare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 xml:space="preserve"> 7559.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Inspecția tehnică a conductei de abur/ Паропровод К-7. Паровой коллектор от ПП-80 до заглушки, nr. de înregistrare 7569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>Servicii de i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nspecți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 xml:space="preserve">e tehnică a conductei de abur/ Паропровод К-7. Паровой коллектор от ПП-80 до заглушки, nr.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de înregistrare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 xml:space="preserve"> 7569.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 xml:space="preserve">Inspecția tehnică a colectorului de alimentare/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ru-RU" w:eastAsia="ru-RU"/>
              </w:rPr>
              <w:t>П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итательный коллектор КА-7 от ПВ-15-1 до загл. ПВД-5, ХС III- оч, nr. de înregistrare 7570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>Servicii de i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nspecți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 xml:space="preserve">e tehnică a colectorului de alimentare/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ru-RU" w:eastAsia="ro-RO"/>
              </w:rPr>
              <w:t>П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 xml:space="preserve">итательный коллектор КА-7 от ПВ-15-1 до загл. ПВД-5, ХС III- оч, nr.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de înregistrare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 xml:space="preserve"> 7570.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Inspecția tehnică a conductei de abur/ Паропровод к/а № 5, nr. de înregistrare 7585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>Servicii de i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nspecți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 xml:space="preserve">e tehnică a conductei de abur/ Паропровод к/а № 5, nr.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de înregistrare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 xml:space="preserve"> 7585.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Inspecția tehnică a conductei de abur/ Паропровод ТГ-3, nr. de înregistrare 7690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>Servicii de i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nspecți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 xml:space="preserve">e tehnică a conductei de abur/ Паропровод ТГ-3, nr.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de înregistrare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 xml:space="preserve"> 7690.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Inspecția tehnică a conductei de abur/ Паропровод к/а № 6, nr. de înregistrare 7691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>Servicii de i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nspecți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 xml:space="preserve">e tehnică a conductei de abur/ Паропровод к/а № 6, nr.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de înregistrare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 xml:space="preserve"> 7691.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Inspecția tehnică a conductei de abur/ Паропровод ПВД-5 (а, б), nr. de înregistrare 7692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>Servicii de i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nspecți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 xml:space="preserve">e tehnică a conductei de abur/ Паропровод ПВД-5 (а, б), nr.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de înregistrare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 xml:space="preserve"> 7692.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 xml:space="preserve">Inspecția tehnică a conductei de abur/Паровая перемычка от ПП-1 до ПП-20, precum și a conductei de abur/ Паропровод ТГ-1, nr. de înregistrare 7828 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>Servicii de i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nspecți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 xml:space="preserve">e tehnică a conductei de abur/Паровая перемычка от ПП-1 до ПП-20, precum și a conductei de abur/ Паропровод ТГ-1, nr.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de înregistrare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 xml:space="preserve"> 7828.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Inspecția tehnică a conductei de abur/Паропровод ТГ-1, nr. de înregistrare 7855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>Servicii de i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nspecți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 xml:space="preserve">e tehnică a conductei de abur/Паропровод ТГ-1, nr.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de înregistrare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 xml:space="preserve"> 7855.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Inspecția tehnică a conductei de abur/ Паропровод к/а №3, nr. de înregistrare 8124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>Servicii de i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nspecți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 xml:space="preserve">e tehnică a conductei de abur/ Паропровод к/а №3, nr.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de înregistrare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 xml:space="preserve"> 8124.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Inspecția tehnică a conductei de abur/Паровая перемычка РОУ-1 - РОУ-5, nr. de înregistrare 8179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>Servicii de i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nspecți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 xml:space="preserve">e tehnică a conductei de abur/Паровая перемычка РОУ-1 - РОУ-5, nr.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de înregistrare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 xml:space="preserve"> 8179.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Inspecția tehnică a conductei de alimentare/ Питательный трубопровод ПВД-1, nr. de înregistrare 8275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ru-RU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>Servicii de i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nspecți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 xml:space="preserve">e tehnică a conductei de alimentare/ Питательный трубопровод ПВД-1, nr.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de înregistrare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 xml:space="preserve"> 8275.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</w:tbl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line="360" w:lineRule="auto"/>
        <w:textAlignment w:val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</w:rPr>
        <w:t xml:space="preserve">Semnat: </w:t>
      </w:r>
      <w:r>
        <w:rPr>
          <w:rFonts w:hint="default" w:ascii="Times New Roman" w:hAnsi="Times New Roman" w:cs="Times New Roman"/>
          <w:u w:val="single"/>
        </w:rPr>
        <w:t xml:space="preserve">              </w:t>
      </w:r>
      <w:r>
        <w:rPr>
          <w:rFonts w:hint="default" w:ascii="Times New Roman" w:hAnsi="Times New Roman" w:cs="Times New Roman"/>
        </w:rPr>
        <w:t xml:space="preserve"> Numele, Prenumele: </w:t>
      </w:r>
      <w:r>
        <w:rPr>
          <w:rFonts w:hint="default" w:ascii="Times New Roman" w:hAnsi="Times New Roman" w:cs="Times New Roman"/>
          <w:u w:val="single"/>
        </w:rPr>
        <w:t xml:space="preserve">                             </w:t>
      </w:r>
      <w:r>
        <w:rPr>
          <w:rFonts w:hint="default" w:ascii="Times New Roman" w:hAnsi="Times New Roman" w:cs="Times New Roman"/>
        </w:rPr>
        <w:t xml:space="preserve"> În calitate de: </w:t>
      </w:r>
      <w:r>
        <w:rPr>
          <w:rFonts w:hint="default" w:ascii="Times New Roman" w:hAnsi="Times New Roman" w:cs="Times New Roman"/>
          <w:u w:val="single"/>
        </w:rPr>
        <w:t xml:space="preserve">                 </w:t>
      </w: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  <w:u w:val="none"/>
        </w:rPr>
        <w:t xml:space="preserve">Ofertantul: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  <w:r>
        <w:rPr>
          <w:rFonts w:hint="default" w:ascii="Times New Roman" w:hAnsi="Times New Roman" w:cs="Times New Roman"/>
          <w:u w:val="none"/>
        </w:rPr>
        <w:t xml:space="preserve"> Adresa: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</w:p>
    <w:p>
      <w:pPr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  <w:u w:val="single"/>
        </w:rPr>
        <w:br w:type="page"/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textAlignment w:val="auto"/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  <w:t>Specificații de preț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jc w:val="center"/>
        <w:textAlignment w:val="auto"/>
        <w:rPr>
          <w:rFonts w:hint="default" w:ascii="Times New Roman" w:hAnsi="Times New Roman" w:cs="Times New Roman"/>
          <w:i/>
          <w:iCs/>
        </w:rPr>
      </w:pPr>
      <w:r>
        <w:rPr>
          <w:rFonts w:hint="default" w:ascii="Times New Roman" w:hAnsi="Times New Roman"/>
          <w:i/>
          <w:iCs/>
        </w:rPr>
        <w:t>[Acest tabel va fi completat de către ofertant în coloanele 5,6,7,8 și 11 la necesitate, iar de către autoritatea contractantă – în coloanele 1,2,3,4,9,10]</w:t>
      </w:r>
    </w:p>
    <w:tbl>
      <w:tblPr>
        <w:tblStyle w:val="6"/>
        <w:tblW w:w="0" w:type="auto"/>
        <w:tblInd w:w="11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69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6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Numărul procedurii de achiziție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              </w:t>
            </w:r>
            <w:r>
              <w:rPr>
                <w:rFonts w:hint="default" w:ascii="Times New Roman" w:hAnsi="Times New Roman" w:cs="Times New Roman"/>
                <w:vertAlign w:val="baseline"/>
              </w:rPr>
              <w:t xml:space="preserve"> din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</w:t>
            </w:r>
            <w:r>
              <w:rPr>
                <w:rFonts w:hint="default" w:ascii="Times New Roman" w:hAnsi="Times New Roman"/>
                <w:u w:val="single"/>
                <w:vertAlign w:val="baseline"/>
                <w:lang/>
              </w:rPr>
              <w:t>16</w:t>
            </w:r>
            <w:r>
              <w:rPr>
                <w:rFonts w:hint="default" w:ascii="Times New Roman" w:hAnsi="Times New Roman"/>
                <w:u w:val="single"/>
                <w:vertAlign w:val="baseline"/>
              </w:rPr>
              <w:t>.0</w:t>
            </w:r>
            <w:r>
              <w:rPr>
                <w:rFonts w:hint="default" w:ascii="Times New Roman" w:hAnsi="Times New Roman"/>
                <w:u w:val="single"/>
                <w:vertAlign w:val="baseline"/>
                <w:lang/>
              </w:rPr>
              <w:t>7</w:t>
            </w:r>
            <w:r>
              <w:rPr>
                <w:rFonts w:hint="default" w:ascii="Times New Roman" w:hAnsi="Times New Roman"/>
                <w:u w:val="single"/>
                <w:vertAlign w:val="baseline"/>
              </w:rPr>
              <w:t>.2026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</w:t>
            </w:r>
            <w:r>
              <w:rPr>
                <w:rFonts w:hint="default" w:ascii="Times New Roman" w:hAnsi="Times New Roman" w:cs="Times New Roman"/>
                <w:u w:val="none"/>
                <w:vertAlign w:val="baseline"/>
              </w:rPr>
              <w:t xml:space="preserve"> 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firstLine="3040" w:firstLineChars="190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r>
              <w:rPr>
                <w:rFonts w:hint="default" w:ascii="Times New Roman" w:hAnsi="Times New Roman"/>
                <w:i/>
                <w:iCs/>
                <w:color w:val="000000" w:themeColor="text1"/>
                <w:sz w:val="16"/>
                <w:szCs w:val="16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  <w:t>(MTender ID-ul procedurii)          (data publicării)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6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Obiectul achiziției: </w:t>
            </w:r>
            <w:r>
              <w:rPr>
                <w:rFonts w:hint="default" w:ascii="Times New Roman" w:hAnsi="Times New Roman"/>
                <w:u w:val="single"/>
                <w:vertAlign w:val="baseline"/>
              </w:rPr>
              <w:t>Servicii de expertiză tehnică a obiectelor industriale potențial periculoase</w:t>
            </w:r>
          </w:p>
        </w:tc>
      </w:tr>
    </w:tbl>
    <w:p>
      <w:pPr>
        <w:rPr>
          <w:rFonts w:hint="default" w:ascii="Times New Roman" w:hAnsi="Times New Roman" w:cs="Times New Roman"/>
        </w:rPr>
      </w:pPr>
    </w:p>
    <w:tbl>
      <w:tblPr>
        <w:tblStyle w:val="6"/>
        <w:tblW w:w="0" w:type="auto"/>
        <w:tblInd w:w="11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2"/>
        <w:gridCol w:w="954"/>
        <w:gridCol w:w="2631"/>
        <w:gridCol w:w="1059"/>
        <w:gridCol w:w="998"/>
        <w:gridCol w:w="1265"/>
        <w:gridCol w:w="1391"/>
        <w:gridCol w:w="1391"/>
        <w:gridCol w:w="1394"/>
        <w:gridCol w:w="1850"/>
        <w:gridCol w:w="1214"/>
        <w:gridCol w:w="102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3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Nr. lot</w:t>
            </w:r>
          </w:p>
        </w:tc>
        <w:tc>
          <w:tcPr>
            <w:tcW w:w="9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/>
                <w:color w:val="000000" w:themeColor="text1"/>
                <w:sz w:val="20"/>
                <w:szCs w:val="24"/>
                <w:u w:val="none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Cod CPV</w:t>
            </w:r>
          </w:p>
        </w:tc>
        <w:tc>
          <w:tcPr>
            <w:tcW w:w="263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Denumirea bunurilor/serviciilor</w:t>
            </w:r>
          </w:p>
        </w:tc>
        <w:tc>
          <w:tcPr>
            <w:tcW w:w="1059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Unitatea de măsură</w:t>
            </w:r>
          </w:p>
        </w:tc>
        <w:tc>
          <w:tcPr>
            <w:tcW w:w="99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Canti-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tatea</w:t>
            </w:r>
          </w:p>
        </w:tc>
        <w:tc>
          <w:tcPr>
            <w:tcW w:w="126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Preţ unitar (fără TVA)</w:t>
            </w:r>
          </w:p>
        </w:tc>
        <w:tc>
          <w:tcPr>
            <w:tcW w:w="13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Preţ unitar (cu TVA)</w:t>
            </w:r>
          </w:p>
        </w:tc>
        <w:tc>
          <w:tcPr>
            <w:tcW w:w="13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Suma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fără TVA</w:t>
            </w:r>
          </w:p>
        </w:tc>
        <w:tc>
          <w:tcPr>
            <w:tcW w:w="139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Suma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cu TVA</w:t>
            </w:r>
          </w:p>
        </w:tc>
        <w:tc>
          <w:tcPr>
            <w:tcW w:w="185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  <w:t>Termenul de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  <w:t>livrare/prestare</w:t>
            </w:r>
          </w:p>
        </w:tc>
        <w:tc>
          <w:tcPr>
            <w:tcW w:w="121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color w:val="000000" w:themeColor="text1"/>
                <w:sz w:val="20"/>
                <w:szCs w:val="28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  <w:t>Clasificație bugetară (IBAN)</w:t>
            </w:r>
          </w:p>
        </w:tc>
        <w:tc>
          <w:tcPr>
            <w:tcW w:w="102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  <w:t>Discount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color w:val="000000" w:themeColor="text1"/>
                <w:sz w:val="20"/>
                <w:szCs w:val="28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  <w:t>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3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9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263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1059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99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126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5</w:t>
            </w:r>
          </w:p>
        </w:tc>
        <w:tc>
          <w:tcPr>
            <w:tcW w:w="13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6</w:t>
            </w:r>
          </w:p>
        </w:tc>
        <w:tc>
          <w:tcPr>
            <w:tcW w:w="13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7</w:t>
            </w:r>
          </w:p>
        </w:tc>
        <w:tc>
          <w:tcPr>
            <w:tcW w:w="139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8</w:t>
            </w:r>
          </w:p>
        </w:tc>
        <w:tc>
          <w:tcPr>
            <w:tcW w:w="185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9</w:t>
            </w:r>
          </w:p>
        </w:tc>
        <w:tc>
          <w:tcPr>
            <w:tcW w:w="121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10</w:t>
            </w:r>
          </w:p>
        </w:tc>
        <w:tc>
          <w:tcPr>
            <w:tcW w:w="102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11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702" w:type="dxa"/>
            <w:gridSpan w:val="12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vertAlign w:val="baseline"/>
                <w14:textFill>
                  <w14:solidFill>
                    <w14:schemeClr w14:val="tx1"/>
                  </w14:solidFill>
                </w14:textFill>
              </w:rPr>
              <w:t xml:space="preserve">LOT 1. </w:t>
            </w:r>
            <w:r>
              <w:rPr>
                <w:rFonts w:hint="default" w:ascii="Times New Roman" w:hAnsi="Times New Roman"/>
                <w:b/>
                <w:bCs/>
                <w:color w:val="000000" w:themeColor="text1"/>
                <w:vertAlign w:val="baseline"/>
                <w14:textFill>
                  <w14:solidFill>
                    <w14:schemeClr w14:val="tx1"/>
                  </w14:solidFill>
                </w14:textFill>
              </w:rPr>
              <w:t>Servicii de expertiză tehnică a obiectelor industriale potențial periculoase</w:t>
            </w:r>
            <w:r>
              <w:rPr>
                <w:rFonts w:hint="default" w:ascii="Times New Roman" w:hAnsi="Times New Roman"/>
                <w:b/>
                <w:bCs/>
                <w:color w:val="000000" w:themeColor="text1"/>
                <w:vertAlign w:val="baseline"/>
                <w:lang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default" w:ascii="Times New Roman" w:hAnsi="Times New Roman"/>
                <w:b/>
                <w:bCs/>
                <w:color w:val="000000" w:themeColor="text1"/>
                <w:vertAlign w:val="baseline"/>
                <w14:textFill>
                  <w14:solidFill>
                    <w14:schemeClr w14:val="tx1"/>
                  </w14:solidFill>
                </w14:textFill>
              </w:rPr>
              <w:t>(cu scopul prelungirii termenului de exploatare)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71319000-7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  <w:t>Expertiza tehnică a cazanului de abur ГМ-40/39, nr. 2, nr. de înregistrare 213</w:t>
            </w:r>
          </w:p>
        </w:tc>
        <w:tc>
          <w:tcPr>
            <w:tcW w:w="105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  <w:t>serv.</w:t>
            </w:r>
          </w:p>
        </w:tc>
        <w:tc>
          <w:tcPr>
            <w:tcW w:w="9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lang w:val="en-US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eastAsia="en-US"/>
                <w14:textFill>
                  <w14:solidFill>
                    <w14:schemeClr w14:val="tx1"/>
                  </w14:solidFill>
                </w14:textFill>
              </w:rPr>
              <w:t>1,0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Termen-limită: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 xml:space="preserve">Etapa I - </w:t>
            </w:r>
            <w:r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07</w:t>
            </w:r>
            <w:r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.0</w:t>
            </w:r>
            <w:r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8</w:t>
            </w:r>
            <w:r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.2026</w:t>
            </w:r>
            <w:r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;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18"/>
                <w:szCs w:val="18"/>
                <w:u w:val="none"/>
                <w:vertAlign w:val="baseli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 xml:space="preserve">Etapa II - 22 zile lucrătoare de la recepția Rapoartelor de control tehnic, dar nu mai târziu de </w:t>
            </w:r>
            <w:r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24</w:t>
            </w:r>
            <w:r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.09.2026</w:t>
            </w:r>
            <w:r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, inclusiv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71319000-7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ru-RU"/>
                <w14:textFill>
                  <w14:solidFill>
                    <w14:schemeClr w14:val="tx1"/>
                  </w14:solidFill>
                </w14:textFill>
              </w:rPr>
              <w:t>Expertiza tehnică a cazanului de abur БКЗ 75/39, nr. 4, nr. de înregistrare 1119</w:t>
            </w:r>
          </w:p>
        </w:tc>
        <w:tc>
          <w:tcPr>
            <w:tcW w:w="105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lang w:val="ru-RU" w:eastAsia="ru-RU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  <w:t>serv.</w:t>
            </w:r>
          </w:p>
        </w:tc>
        <w:tc>
          <w:tcPr>
            <w:tcW w:w="99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val="ru-RU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eastAsia="en-US"/>
                <w14:textFill>
                  <w14:solidFill>
                    <w14:schemeClr w14:val="tx1"/>
                  </w14:solidFill>
                </w14:textFill>
              </w:rPr>
              <w:t>1,0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Termen-limită: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Etapa I - 07.08.2026;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Etapa II - 22 zile lucrătoare de la recepția Rapoartelor de control tehnic, dar nu mai târziu de 24.09.2026, inclusiv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71319000-7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ru-RU"/>
                <w14:textFill>
                  <w14:solidFill>
                    <w14:schemeClr w14:val="tx1"/>
                  </w14:solidFill>
                </w14:textFill>
              </w:rPr>
              <w:t>Expertiza tehnică a cazanului de abur БКЗ 75/39, nr. 5, nr. de înregistrare 1586</w:t>
            </w:r>
          </w:p>
        </w:tc>
        <w:tc>
          <w:tcPr>
            <w:tcW w:w="105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  <w:t>serv.</w:t>
            </w:r>
          </w:p>
        </w:tc>
        <w:tc>
          <w:tcPr>
            <w:tcW w:w="99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val="en-US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eastAsia="en-US"/>
                <w14:textFill>
                  <w14:solidFill>
                    <w14:schemeClr w14:val="tx1"/>
                  </w14:solidFill>
                </w14:textFill>
              </w:rPr>
              <w:t>1,0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Termen-limită: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Etapa I - 07.08.2026;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Etapa II - 22 zile lucrătoare de la recepția Rapoartelor de control tehnic, dar nu mai târziu de 24.09.2026, inclusiv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71319000-7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ru-RU"/>
                <w14:textFill>
                  <w14:solidFill>
                    <w14:schemeClr w14:val="tx1"/>
                  </w14:solidFill>
                </w14:textFill>
              </w:rPr>
              <w:t>Expertiza tehnică a cazanului de abur БКЗ 75/39, nr. 6, nr. de înregistrare 2731</w:t>
            </w:r>
          </w:p>
        </w:tc>
        <w:tc>
          <w:tcPr>
            <w:tcW w:w="105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  <w:t>serv.</w:t>
            </w:r>
          </w:p>
        </w:tc>
        <w:tc>
          <w:tcPr>
            <w:tcW w:w="99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val="en-US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eastAsia="en-US"/>
                <w14:textFill>
                  <w14:solidFill>
                    <w14:schemeClr w14:val="tx1"/>
                  </w14:solidFill>
                </w14:textFill>
              </w:rPr>
              <w:t>1,0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Termen-limită: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Etapa I - 07.08.2026;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Etapa II - 22 zile lucrătoare de la recepția Rapoartelor de control tehnic, dar nu mai târziu de 24.09.2026, inclusiv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71319000-7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ru-RU"/>
                <w14:textFill>
                  <w14:solidFill>
                    <w14:schemeClr w14:val="tx1"/>
                  </w14:solidFill>
                </w14:textFill>
              </w:rPr>
              <w:t>Expertiza tehnică a colectorului de abur al cazanelor, nr. de înregistrare 1120</w:t>
            </w:r>
          </w:p>
        </w:tc>
        <w:tc>
          <w:tcPr>
            <w:tcW w:w="105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  <w:t>serv.</w:t>
            </w:r>
          </w:p>
        </w:tc>
        <w:tc>
          <w:tcPr>
            <w:tcW w:w="99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val="en-US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eastAsia="en-US"/>
                <w14:textFill>
                  <w14:solidFill>
                    <w14:schemeClr w14:val="tx1"/>
                  </w14:solidFill>
                </w14:textFill>
              </w:rPr>
              <w:t>1,0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Termen-limită: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Etapa I - 07.08.2026;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Etapa II - 22 zile lucrătoare de la recepția Rapoartelor de control tehnic, dar nu mai târziu de 24.09.2026, inclusiv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71319000-7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ru-RU"/>
                <w14:textFill>
                  <w14:solidFill>
                    <w14:schemeClr w14:val="tx1"/>
                  </w14:solidFill>
                </w14:textFill>
              </w:rPr>
              <w:t>Expertiza tehnică a colectorului de abur al cazanelor, nr. de  înregistrare 217</w:t>
            </w:r>
          </w:p>
        </w:tc>
        <w:tc>
          <w:tcPr>
            <w:tcW w:w="105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  <w:t>serv.</w:t>
            </w:r>
          </w:p>
        </w:tc>
        <w:tc>
          <w:tcPr>
            <w:tcW w:w="99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val="en-US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eastAsia="en-US"/>
                <w14:textFill>
                  <w14:solidFill>
                    <w14:schemeClr w14:val="tx1"/>
                  </w14:solidFill>
                </w14:textFill>
              </w:rPr>
              <w:t>1,0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Termen-limită: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Etapa I - 07.08.2026;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Etapa II - 22 zile lucrătoare de la recepția Rapoartelor de control tehnic, dar nu mai târziu de 24.09.2026, inclusiv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71319000-7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ru-RU"/>
                <w14:textFill>
                  <w14:solidFill>
                    <w14:schemeClr w14:val="tx1"/>
                  </w14:solidFill>
                </w14:textFill>
              </w:rPr>
              <w:t>Expertiza tehnică a colectorului de alimentare al agregatelor de cazane, nr. de înregistrare 1121</w:t>
            </w:r>
          </w:p>
        </w:tc>
        <w:tc>
          <w:tcPr>
            <w:tcW w:w="105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  <w:t>serv.</w:t>
            </w:r>
          </w:p>
        </w:tc>
        <w:tc>
          <w:tcPr>
            <w:tcW w:w="99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val="ru-RU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eastAsia="en-US"/>
                <w14:textFill>
                  <w14:solidFill>
                    <w14:schemeClr w14:val="tx1"/>
                  </w14:solidFill>
                </w14:textFill>
              </w:rPr>
              <w:t>1,0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Termen-limită: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Etapa I - 07.08.2026;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Etapa II - 22 zile lucrătoare de la recepția Rapoartelor de control tehnic, dar nu mai târziu de 24.09.2026, inclusiv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71319000-7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ru-RU"/>
                <w14:textFill>
                  <w14:solidFill>
                    <w14:schemeClr w14:val="tx1"/>
                  </w14:solidFill>
                </w14:textFill>
              </w:rPr>
              <w:t>Expertiza tehnică a colectorului de alimentare al agregatelor de cazane, nr. de înregistrare 217</w:t>
            </w:r>
          </w:p>
        </w:tc>
        <w:tc>
          <w:tcPr>
            <w:tcW w:w="105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  <w:t>serv.</w:t>
            </w:r>
          </w:p>
        </w:tc>
        <w:tc>
          <w:tcPr>
            <w:tcW w:w="99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val="ru-RU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eastAsia="en-US"/>
                <w14:textFill>
                  <w14:solidFill>
                    <w14:schemeClr w14:val="tx1"/>
                  </w14:solidFill>
                </w14:textFill>
              </w:rPr>
              <w:t>1,0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Termen-limită: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Etapa I - 07.08.2026;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Etapa II - 22 zile lucrătoare de la recepția Rapoartelor de control tehnic, dar nu mai târziu de 24.09.2026, inclusiv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71319000-7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ru-RU"/>
                <w14:textFill>
                  <w14:solidFill>
                    <w14:schemeClr w14:val="tx1"/>
                  </w14:solidFill>
                </w14:textFill>
              </w:rPr>
              <w:t>Expertiza tehnică a colectorului de presiune al pompelor de alimentare, nr. de înregistrare 7693</w:t>
            </w:r>
          </w:p>
        </w:tc>
        <w:tc>
          <w:tcPr>
            <w:tcW w:w="105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  <w:t>serv.</w:t>
            </w:r>
          </w:p>
        </w:tc>
        <w:tc>
          <w:tcPr>
            <w:tcW w:w="99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val="ru-RU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eastAsia="en-US"/>
                <w14:textFill>
                  <w14:solidFill>
                    <w14:schemeClr w14:val="tx1"/>
                  </w14:solidFill>
                </w14:textFill>
              </w:rPr>
              <w:t>1,0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Termen-limită: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Etapa I - 07.08.2026;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Etapa II - 22 zile lucrătoare de la recepția Rapoartelor de control tehnic, dar nu mai târziu de 24.09.2026, inclusiv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71319000-7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ru-RU"/>
                <w14:textFill>
                  <w14:solidFill>
                    <w14:schemeClr w14:val="tx1"/>
                  </w14:solidFill>
                </w14:textFill>
              </w:rPr>
              <w:t>Expertiza tehnică a schimbătorului de căldură ПБ-3, nr. de înregistrare 7796</w:t>
            </w:r>
          </w:p>
        </w:tc>
        <w:tc>
          <w:tcPr>
            <w:tcW w:w="105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  <w:t>serv.</w:t>
            </w:r>
          </w:p>
        </w:tc>
        <w:tc>
          <w:tcPr>
            <w:tcW w:w="99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val="en-US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eastAsia="en-US"/>
                <w14:textFill>
                  <w14:solidFill>
                    <w14:schemeClr w14:val="tx1"/>
                  </w14:solidFill>
                </w14:textFill>
              </w:rPr>
              <w:t>1,0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Termen-limită: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Etapa I - 07.08.2026;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Etapa II - 22 zile lucrătoare de la recepția Rapoartelor de control tehnic, dar nu mai târziu de 24.09.2026, inclusiv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firstLine="0" w:firstLineChars="0"/>
              <w:jc w:val="both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eastAsiaTheme="minorEastAsia" w:cstheme="minorBidi"/>
                <w:color w:val="000000" w:themeColor="text1"/>
                <w:sz w:val="15"/>
                <w:szCs w:val="15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eastAsiaTheme="minorEastAsia" w:cstheme="minorBidi"/>
                <w:i w:val="0"/>
                <w:iCs w:val="0"/>
                <w:color w:val="000000" w:themeColor="text1"/>
                <w:sz w:val="20"/>
                <w:szCs w:val="20"/>
                <w:lang w:eastAsia="ru-RU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b/>
                <w:bCs/>
                <w:i w:val="0"/>
                <w:iCs w:val="0"/>
                <w:color w:val="000000" w:themeColor="text1"/>
                <w:sz w:val="20"/>
                <w:szCs w:val="20"/>
                <w:lang w:eastAsia="en-US"/>
                <w14:textFill>
                  <w14:solidFill>
                    <w14:schemeClr w14:val="tx1"/>
                  </w14:solidFill>
                </w14:textFill>
              </w:rPr>
              <w:t>Total lot 1</w:t>
            </w:r>
          </w:p>
        </w:tc>
        <w:tc>
          <w:tcPr>
            <w:tcW w:w="105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lang w:val="en-US" w:eastAsia="ru-RU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  <w:t>-</w:t>
            </w:r>
          </w:p>
        </w:tc>
        <w:tc>
          <w:tcPr>
            <w:tcW w:w="9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lang w:val="en-US" w:eastAsia="ro-RO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/>
                <w14:textFill>
                  <w14:solidFill>
                    <w14:schemeClr w14:val="tx1"/>
                  </w14:solidFill>
                </w14:textFill>
              </w:rPr>
              <w:t>-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u w:val="none"/>
                <w:vertAlign w:val="baseli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  <w:t>-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u w:val="none"/>
                <w:vertAlign w:val="baseli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  <w:t>-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702" w:type="dxa"/>
            <w:gridSpan w:val="12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vertAlign w:val="baseline"/>
                <w14:textFill>
                  <w14:solidFill>
                    <w14:schemeClr w14:val="tx1"/>
                  </w14:solidFill>
                </w14:textFill>
              </w:rPr>
              <w:t xml:space="preserve">LOT </w:t>
            </w: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vertAlign w:val="baseline"/>
                <w:lang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vertAlign w:val="baseline"/>
                <w14:textFill>
                  <w14:solidFill>
                    <w14:schemeClr w14:val="tx1"/>
                  </w14:solidFill>
                </w14:textFill>
              </w:rPr>
              <w:t xml:space="preserve">. </w:t>
            </w:r>
            <w:r>
              <w:rPr>
                <w:rFonts w:hint="default" w:ascii="Times New Roman" w:hAnsi="Times New Roman"/>
                <w:b/>
                <w:bCs/>
                <w:color w:val="000000" w:themeColor="text1"/>
                <w:vertAlign w:val="baseline"/>
                <w14:textFill>
                  <w14:solidFill>
                    <w14:schemeClr w14:val="tx1"/>
                  </w14:solidFill>
                </w14:textFill>
              </w:rPr>
              <w:t>Servicii de inspecție tehnică a obiectelor industriale potențial periculoase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71319000-7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ru-RU"/>
                <w14:textFill>
                  <w14:solidFill>
                    <w14:schemeClr w14:val="tx1"/>
                  </w14:solidFill>
                </w14:textFill>
              </w:rPr>
              <w:t>Inspecția tehnică a cazanului de abur ГМ-40/39, nr.3, nr. de înregistrare 787</w:t>
            </w:r>
          </w:p>
        </w:tc>
        <w:tc>
          <w:tcPr>
            <w:tcW w:w="105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lang w:val="en-US" w:eastAsia="ru-RU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  <w:t>serv.</w:t>
            </w:r>
          </w:p>
        </w:tc>
        <w:tc>
          <w:tcPr>
            <w:tcW w:w="99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val="en-US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eastAsia="en-US"/>
                <w14:textFill>
                  <w14:solidFill>
                    <w14:schemeClr w14:val="tx1"/>
                  </w14:solidFill>
                </w14:textFill>
              </w:rPr>
              <w:t>1,0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Până la data de 24.09.2026 inclusiv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71319000-7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ru-RU"/>
                <w14:textFill>
                  <w14:solidFill>
                    <w14:schemeClr w14:val="tx1"/>
                  </w14:solidFill>
                </w14:textFill>
              </w:rPr>
              <w:t>Inspecția tehnică a recipientului ПБ-1, nr. de înregistrare 10194</w:t>
            </w:r>
          </w:p>
        </w:tc>
        <w:tc>
          <w:tcPr>
            <w:tcW w:w="105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  <w:t>serv.</w:t>
            </w:r>
          </w:p>
        </w:tc>
        <w:tc>
          <w:tcPr>
            <w:tcW w:w="99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val="en-US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eastAsia="en-US"/>
                <w14:textFill>
                  <w14:solidFill>
                    <w14:schemeClr w14:val="tx1"/>
                  </w14:solidFill>
                </w14:textFill>
              </w:rPr>
              <w:t>1,0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Până la data de 24.09.2026 inclusiv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71319000-7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ru-RU"/>
                <w14:textFill>
                  <w14:solidFill>
                    <w14:schemeClr w14:val="tx1"/>
                  </w14:solidFill>
                </w14:textFill>
              </w:rPr>
              <w:t>Inspecția tehnică a preîncălzitorului de presiune înaltă ПВД-1, nr. de înregistrare 10151</w:t>
            </w:r>
          </w:p>
        </w:tc>
        <w:tc>
          <w:tcPr>
            <w:tcW w:w="105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  <w:t>serv.</w:t>
            </w:r>
          </w:p>
        </w:tc>
        <w:tc>
          <w:tcPr>
            <w:tcW w:w="99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val="en-US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eastAsia="en-US"/>
                <w14:textFill>
                  <w14:solidFill>
                    <w14:schemeClr w14:val="tx1"/>
                  </w14:solidFill>
                </w14:textFill>
              </w:rPr>
              <w:t>1,0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Până la data de 24.09.2026 inclusiv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71319000-7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ru-RU"/>
                <w14:textFill>
                  <w14:solidFill>
                    <w14:schemeClr w14:val="tx1"/>
                  </w14:solidFill>
                </w14:textFill>
              </w:rPr>
              <w:t>Inspecția tehnică a conductei de abur П-отбора ТГ-1, nr. de înregistrare 80</w:t>
            </w:r>
          </w:p>
        </w:tc>
        <w:tc>
          <w:tcPr>
            <w:tcW w:w="105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  <w:t>serv.</w:t>
            </w:r>
          </w:p>
        </w:tc>
        <w:tc>
          <w:tcPr>
            <w:tcW w:w="99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val="en-US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eastAsia="en-US"/>
                <w14:textFill>
                  <w14:solidFill>
                    <w14:schemeClr w14:val="tx1"/>
                  </w14:solidFill>
                </w14:textFill>
              </w:rPr>
              <w:t>1,0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Până la data de 24.09.2026 inclusiv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71319000-7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ru-RU"/>
                <w14:textFill>
                  <w14:solidFill>
                    <w14:schemeClr w14:val="tx1"/>
                  </w14:solidFill>
                </w14:textFill>
              </w:rPr>
              <w:t>Inspecția tehnică a instalației de reducere și răcire a aburului РОУ-1 с п/п высокая сторона, nr. de înregistrare 2330</w:t>
            </w:r>
          </w:p>
        </w:tc>
        <w:tc>
          <w:tcPr>
            <w:tcW w:w="105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  <w:t>serv.</w:t>
            </w:r>
          </w:p>
        </w:tc>
        <w:tc>
          <w:tcPr>
            <w:tcW w:w="99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val="en-US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eastAsia="en-US"/>
                <w14:textFill>
                  <w14:solidFill>
                    <w14:schemeClr w14:val="tx1"/>
                  </w14:solidFill>
                </w14:textFill>
              </w:rPr>
              <w:t>1,0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Până la data de 24.09.2026 inclusiv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71319000-7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ru-RU"/>
                <w14:textFill>
                  <w14:solidFill>
                    <w14:schemeClr w14:val="tx1"/>
                  </w14:solidFill>
                </w14:textFill>
              </w:rPr>
              <w:t>Inspecția tehnică a conductei de abur РОУ-1 (низкая сторона), nr. de înregistrare 2650</w:t>
            </w:r>
          </w:p>
        </w:tc>
        <w:tc>
          <w:tcPr>
            <w:tcW w:w="105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  <w:t>serv.</w:t>
            </w:r>
          </w:p>
        </w:tc>
        <w:tc>
          <w:tcPr>
            <w:tcW w:w="99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val="en-US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eastAsia="en-US"/>
                <w14:textFill>
                  <w14:solidFill>
                    <w14:schemeClr w14:val="tx1"/>
                  </w14:solidFill>
                </w14:textFill>
              </w:rPr>
              <w:t>1,0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Până la</w:t>
            </w:r>
            <w:bookmarkStart w:id="0" w:name="_GoBack"/>
            <w:bookmarkEnd w:id="0"/>
            <w:r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 xml:space="preserve"> data de 24.09.2026 inclusiv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71319000-7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ru-RU"/>
                <w14:textFill>
                  <w14:solidFill>
                    <w14:schemeClr w14:val="tx1"/>
                  </w14:solidFill>
                </w14:textFill>
              </w:rPr>
              <w:t>Inspecția tehnică a colectorului de alimentare/ Питательный коллектор КА, nr. de înregistrare 2733</w:t>
            </w:r>
          </w:p>
        </w:tc>
        <w:tc>
          <w:tcPr>
            <w:tcW w:w="105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  <w:t>serv.</w:t>
            </w:r>
          </w:p>
        </w:tc>
        <w:tc>
          <w:tcPr>
            <w:tcW w:w="99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val="en-US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eastAsia="en-US"/>
                <w14:textFill>
                  <w14:solidFill>
                    <w14:schemeClr w14:val="tx1"/>
                  </w14:solidFill>
                </w14:textFill>
              </w:rPr>
              <w:t>1,0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Până la data de 24.09.2026 inclusiv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71319000-7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ru-RU"/>
                <w14:textFill>
                  <w14:solidFill>
                    <w14:schemeClr w14:val="tx1"/>
                  </w14:solidFill>
                </w14:textFill>
              </w:rPr>
              <w:t>Inspecția tehnică a instalației de reducere și răcire a aburului РОУ-5, nr. de înregistrare 3273</w:t>
            </w:r>
          </w:p>
        </w:tc>
        <w:tc>
          <w:tcPr>
            <w:tcW w:w="105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  <w:t>serv.</w:t>
            </w:r>
          </w:p>
        </w:tc>
        <w:tc>
          <w:tcPr>
            <w:tcW w:w="99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val="en-US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eastAsia="en-US"/>
                <w14:textFill>
                  <w14:solidFill>
                    <w14:schemeClr w14:val="tx1"/>
                  </w14:solidFill>
                </w14:textFill>
              </w:rPr>
              <w:t>1,0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Până la data de 24.09.2026 inclusiv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71319000-7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ru-RU"/>
                <w14:textFill>
                  <w14:solidFill>
                    <w14:schemeClr w14:val="tx1"/>
                  </w14:solidFill>
                </w14:textFill>
              </w:rPr>
              <w:t>Inspecția tehnică a conductei de abur РОУ-5 (высокая и низкая сторона), nr. de înregistrare 3279</w:t>
            </w:r>
          </w:p>
        </w:tc>
        <w:tc>
          <w:tcPr>
            <w:tcW w:w="105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  <w:t>serv.</w:t>
            </w:r>
          </w:p>
        </w:tc>
        <w:tc>
          <w:tcPr>
            <w:tcW w:w="99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val="en-US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eastAsia="en-US"/>
                <w14:textFill>
                  <w14:solidFill>
                    <w14:schemeClr w14:val="tx1"/>
                  </w14:solidFill>
                </w14:textFill>
              </w:rPr>
              <w:t>1,0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Până la data de 24.09.2026 inclusiv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71319000-7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ru-RU"/>
                <w14:textFill>
                  <w14:solidFill>
                    <w14:schemeClr w14:val="tx1"/>
                  </w14:solidFill>
                </w14:textFill>
              </w:rPr>
              <w:t>Inspecția tehnică a conductei de abur/ Паропровод ТГ-4 (низкая сторона</w:t>
            </w: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ro-RO" w:eastAsia="ru-RU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ru-RU"/>
                <w14:textFill>
                  <w14:solidFill>
                    <w14:schemeClr w14:val="tx1"/>
                  </w14:solidFill>
                </w14:textFill>
              </w:rPr>
              <w:t>8 ати,</w:t>
            </w: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ro-RO" w:eastAsia="ru-RU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ru-RU"/>
                <w14:textFill>
                  <w14:solidFill>
                    <w14:schemeClr w14:val="tx1"/>
                  </w14:solidFill>
                </w14:textFill>
              </w:rPr>
              <w:t>паропровод ПБ-3), nr. de înregistrare 3280</w:t>
            </w:r>
          </w:p>
        </w:tc>
        <w:tc>
          <w:tcPr>
            <w:tcW w:w="105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  <w:t>serv.</w:t>
            </w:r>
          </w:p>
        </w:tc>
        <w:tc>
          <w:tcPr>
            <w:tcW w:w="99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val="en-US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eastAsia="en-US"/>
                <w14:textFill>
                  <w14:solidFill>
                    <w14:schemeClr w14:val="tx1"/>
                  </w14:solidFill>
                </w14:textFill>
              </w:rPr>
              <w:t>1,0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Până la data de 24.09.2026 inclusiv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71319000-7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ru-RU"/>
                <w14:textFill>
                  <w14:solidFill>
                    <w14:schemeClr w14:val="tx1"/>
                  </w14:solidFill>
                </w14:textFill>
              </w:rPr>
              <w:t>Inspecția tehnică a conductei de abur/ Паропровод к/а №2, nr. de înregistrare 4166</w:t>
            </w:r>
          </w:p>
        </w:tc>
        <w:tc>
          <w:tcPr>
            <w:tcW w:w="105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  <w:t>serv.</w:t>
            </w:r>
          </w:p>
        </w:tc>
        <w:tc>
          <w:tcPr>
            <w:tcW w:w="99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val="en-US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eastAsia="en-US"/>
                <w14:textFill>
                  <w14:solidFill>
                    <w14:schemeClr w14:val="tx1"/>
                  </w14:solidFill>
                </w14:textFill>
              </w:rPr>
              <w:t>1,0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Până la data de 24.09.2026 inclusiv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71319000-7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ru-RU"/>
                <w14:textFill>
                  <w14:solidFill>
                    <w14:schemeClr w14:val="tx1"/>
                  </w14:solidFill>
                </w14:textFill>
              </w:rPr>
              <w:t>Inspecția tehnică a conductei de abur/ Паропровод к/а № 4, nr. de înregistrare 7453</w:t>
            </w:r>
          </w:p>
        </w:tc>
        <w:tc>
          <w:tcPr>
            <w:tcW w:w="105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  <w:t>serv.</w:t>
            </w:r>
          </w:p>
        </w:tc>
        <w:tc>
          <w:tcPr>
            <w:tcW w:w="99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val="en-US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eastAsia="en-US"/>
                <w14:textFill>
                  <w14:solidFill>
                    <w14:schemeClr w14:val="tx1"/>
                  </w14:solidFill>
                </w14:textFill>
              </w:rPr>
              <w:t>1,0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Până la data de 24.09.2026 inclusiv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71319000-7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ru-RU"/>
                <w14:textFill>
                  <w14:solidFill>
                    <w14:schemeClr w14:val="tx1"/>
                  </w14:solidFill>
                </w14:textFill>
              </w:rPr>
              <w:t>Inspecția tehnică a colectorului de abur/Паровой коллектор котлов, nr. de înregistrare 7559</w:t>
            </w:r>
          </w:p>
        </w:tc>
        <w:tc>
          <w:tcPr>
            <w:tcW w:w="105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  <w:t>serv.</w:t>
            </w:r>
          </w:p>
        </w:tc>
        <w:tc>
          <w:tcPr>
            <w:tcW w:w="99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val="en-US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eastAsia="en-US"/>
                <w14:textFill>
                  <w14:solidFill>
                    <w14:schemeClr w14:val="tx1"/>
                  </w14:solidFill>
                </w14:textFill>
              </w:rPr>
              <w:t>1,0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Până la data de 24.09.2026 inclusiv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71319000-7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ru-RU"/>
                <w14:textFill>
                  <w14:solidFill>
                    <w14:schemeClr w14:val="tx1"/>
                  </w14:solidFill>
                </w14:textFill>
              </w:rPr>
              <w:t>Inspecția tehnică a conductei de abur/ Паропровод К-7. Паровой коллектор от ПП-80 до заглушки, nr. de înregistrare 7569</w:t>
            </w:r>
          </w:p>
        </w:tc>
        <w:tc>
          <w:tcPr>
            <w:tcW w:w="105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  <w:t>serv.</w:t>
            </w:r>
          </w:p>
        </w:tc>
        <w:tc>
          <w:tcPr>
            <w:tcW w:w="99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val="en-US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eastAsia="en-US"/>
                <w14:textFill>
                  <w14:solidFill>
                    <w14:schemeClr w14:val="tx1"/>
                  </w14:solidFill>
                </w14:textFill>
              </w:rPr>
              <w:t>1,0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Până la data de 24.09.2026 inclusiv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71319000-7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ru-RU"/>
                <w14:textFill>
                  <w14:solidFill>
                    <w14:schemeClr w14:val="tx1"/>
                  </w14:solidFill>
                </w14:textFill>
              </w:rPr>
              <w:t xml:space="preserve">Inspecția tehnică a colectorului de alimentare/ </w:t>
            </w: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ru-RU" w:eastAsia="ru-RU"/>
                <w14:textFill>
                  <w14:solidFill>
                    <w14:schemeClr w14:val="tx1"/>
                  </w14:solidFill>
                </w14:textFill>
              </w:rPr>
              <w:t>П</w:t>
            </w: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ru-RU"/>
                <w14:textFill>
                  <w14:solidFill>
                    <w14:schemeClr w14:val="tx1"/>
                  </w14:solidFill>
                </w14:textFill>
              </w:rPr>
              <w:t>итательный коллектор КА-7 от ПВ-15-1 до загл. ПВД-5, ХС III- оч, nr. de înregistrare 7570</w:t>
            </w:r>
          </w:p>
        </w:tc>
        <w:tc>
          <w:tcPr>
            <w:tcW w:w="105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  <w:t>serv.</w:t>
            </w:r>
          </w:p>
        </w:tc>
        <w:tc>
          <w:tcPr>
            <w:tcW w:w="99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val="en-US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eastAsia="en-US"/>
                <w14:textFill>
                  <w14:solidFill>
                    <w14:schemeClr w14:val="tx1"/>
                  </w14:solidFill>
                </w14:textFill>
              </w:rPr>
              <w:t>1,0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Până la data de 24.09.2026 inclusiv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71319000-7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ru-RU"/>
                <w14:textFill>
                  <w14:solidFill>
                    <w14:schemeClr w14:val="tx1"/>
                  </w14:solidFill>
                </w14:textFill>
              </w:rPr>
              <w:t>Inspecția tehnică a conductei de abur/ Паропровод к/а № 5, nr. de înregistrare 7585</w:t>
            </w:r>
          </w:p>
        </w:tc>
        <w:tc>
          <w:tcPr>
            <w:tcW w:w="105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  <w:t>serv.</w:t>
            </w:r>
          </w:p>
        </w:tc>
        <w:tc>
          <w:tcPr>
            <w:tcW w:w="99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val="en-US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eastAsia="en-US"/>
                <w14:textFill>
                  <w14:solidFill>
                    <w14:schemeClr w14:val="tx1"/>
                  </w14:solidFill>
                </w14:textFill>
              </w:rPr>
              <w:t>1,0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Până la data de 24.09.2026 inclusiv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71319000-7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ru-RU"/>
                <w14:textFill>
                  <w14:solidFill>
                    <w14:schemeClr w14:val="tx1"/>
                  </w14:solidFill>
                </w14:textFill>
              </w:rPr>
              <w:t>Inspecția tehnică a conductei de abur/ Паропровод ТГ-3, nr. de înregistrare 7690</w:t>
            </w:r>
          </w:p>
        </w:tc>
        <w:tc>
          <w:tcPr>
            <w:tcW w:w="105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  <w:t>serv.</w:t>
            </w:r>
          </w:p>
        </w:tc>
        <w:tc>
          <w:tcPr>
            <w:tcW w:w="99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val="en-US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eastAsia="en-US"/>
                <w14:textFill>
                  <w14:solidFill>
                    <w14:schemeClr w14:val="tx1"/>
                  </w14:solidFill>
                </w14:textFill>
              </w:rPr>
              <w:t>1,0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Până la data de 24.09.2026 inclusiv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71319000-7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ru-RU"/>
                <w14:textFill>
                  <w14:solidFill>
                    <w14:schemeClr w14:val="tx1"/>
                  </w14:solidFill>
                </w14:textFill>
              </w:rPr>
              <w:t>Inspecția tehnică a conductei de abur/ Паропровод к/а № 6, nr. de înregistrare 7691</w:t>
            </w:r>
          </w:p>
        </w:tc>
        <w:tc>
          <w:tcPr>
            <w:tcW w:w="105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  <w:t>serv.</w:t>
            </w:r>
          </w:p>
        </w:tc>
        <w:tc>
          <w:tcPr>
            <w:tcW w:w="99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val="en-US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eastAsia="en-US"/>
                <w14:textFill>
                  <w14:solidFill>
                    <w14:schemeClr w14:val="tx1"/>
                  </w14:solidFill>
                </w14:textFill>
              </w:rPr>
              <w:t>1,0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Până la data de 24.09.2026 inclusiv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71319000-7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ru-RU"/>
                <w14:textFill>
                  <w14:solidFill>
                    <w14:schemeClr w14:val="tx1"/>
                  </w14:solidFill>
                </w14:textFill>
              </w:rPr>
              <w:t>Inspecția tehnică a conductei de abur/ Паропровод ПВД-5 (а, б), nr. de înregistrare 7692</w:t>
            </w:r>
          </w:p>
        </w:tc>
        <w:tc>
          <w:tcPr>
            <w:tcW w:w="105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  <w:t>serv.</w:t>
            </w:r>
          </w:p>
        </w:tc>
        <w:tc>
          <w:tcPr>
            <w:tcW w:w="99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val="en-US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eastAsia="en-US"/>
                <w14:textFill>
                  <w14:solidFill>
                    <w14:schemeClr w14:val="tx1"/>
                  </w14:solidFill>
                </w14:textFill>
              </w:rPr>
              <w:t>1,0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Până la data de 24.09.2026 inclusiv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71319000-7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ru-RU"/>
                <w14:textFill>
                  <w14:solidFill>
                    <w14:schemeClr w14:val="tx1"/>
                  </w14:solidFill>
                </w14:textFill>
              </w:rPr>
              <w:t xml:space="preserve">Inspecția tehnică a conductei de abur/Паровая перемычка от ПП-1 до ПП-20, precum și a conductei de abur/ Паропровод ТГ-1, nr. de înregistrare 7828 </w:t>
            </w:r>
          </w:p>
        </w:tc>
        <w:tc>
          <w:tcPr>
            <w:tcW w:w="105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  <w:t>serv.</w:t>
            </w:r>
          </w:p>
        </w:tc>
        <w:tc>
          <w:tcPr>
            <w:tcW w:w="99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val="en-US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eastAsia="en-US"/>
                <w14:textFill>
                  <w14:solidFill>
                    <w14:schemeClr w14:val="tx1"/>
                  </w14:solidFill>
                </w14:textFill>
              </w:rPr>
              <w:t>1,0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Până la data de 24.09.2026 inclusiv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71319000-7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ru-RU"/>
                <w14:textFill>
                  <w14:solidFill>
                    <w14:schemeClr w14:val="tx1"/>
                  </w14:solidFill>
                </w14:textFill>
              </w:rPr>
              <w:t>Inspecția tehnică a conductei de abur/Паропровод ТГ-1, nr. de înregistrare 7855</w:t>
            </w:r>
          </w:p>
        </w:tc>
        <w:tc>
          <w:tcPr>
            <w:tcW w:w="105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  <w:t>serv.</w:t>
            </w:r>
          </w:p>
        </w:tc>
        <w:tc>
          <w:tcPr>
            <w:tcW w:w="99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val="en-US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eastAsia="en-US"/>
                <w14:textFill>
                  <w14:solidFill>
                    <w14:schemeClr w14:val="tx1"/>
                  </w14:solidFill>
                </w14:textFill>
              </w:rPr>
              <w:t>1,0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Până la data de 24.09.2026 inclusiv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71319000-7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ru-RU"/>
                <w14:textFill>
                  <w14:solidFill>
                    <w14:schemeClr w14:val="tx1"/>
                  </w14:solidFill>
                </w14:textFill>
              </w:rPr>
              <w:t>Inspecția tehnică a conductei de abur/ Паропровод к/а №3, nr. de înregistrare 8124</w:t>
            </w:r>
          </w:p>
        </w:tc>
        <w:tc>
          <w:tcPr>
            <w:tcW w:w="105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  <w:t>serv.</w:t>
            </w:r>
          </w:p>
        </w:tc>
        <w:tc>
          <w:tcPr>
            <w:tcW w:w="99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val="en-US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eastAsia="en-US"/>
                <w14:textFill>
                  <w14:solidFill>
                    <w14:schemeClr w14:val="tx1"/>
                  </w14:solidFill>
                </w14:textFill>
              </w:rPr>
              <w:t>1,0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Până la data de 24.09.2026 inclusiv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71319000-7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ru-RU"/>
                <w14:textFill>
                  <w14:solidFill>
                    <w14:schemeClr w14:val="tx1"/>
                  </w14:solidFill>
                </w14:textFill>
              </w:rPr>
              <w:t>Inspecția tehnică a conductei de abur/Паровая перемычка РОУ-1 - РОУ-5, nr. de înregistrare 8179</w:t>
            </w:r>
          </w:p>
        </w:tc>
        <w:tc>
          <w:tcPr>
            <w:tcW w:w="105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  <w:t>serv.</w:t>
            </w:r>
          </w:p>
        </w:tc>
        <w:tc>
          <w:tcPr>
            <w:tcW w:w="99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eastAsia="en-US"/>
                <w14:textFill>
                  <w14:solidFill>
                    <w14:schemeClr w14:val="tx1"/>
                  </w14:solidFill>
                </w14:textFill>
              </w:rPr>
              <w:t>1,0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Până la data de 24.09.2026 inclusiv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71319000-7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ru-RU"/>
                <w14:textFill>
                  <w14:solidFill>
                    <w14:schemeClr w14:val="tx1"/>
                  </w14:solidFill>
                </w14:textFill>
              </w:rPr>
              <w:t>Inspecția tehnică a conductei de alimentare/ Питательный трубопровод ПВД-1, nr. de înregistrare 8275</w:t>
            </w:r>
          </w:p>
        </w:tc>
        <w:tc>
          <w:tcPr>
            <w:tcW w:w="105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  <w:t>serv.</w:t>
            </w:r>
          </w:p>
        </w:tc>
        <w:tc>
          <w:tcPr>
            <w:tcW w:w="99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szCs w:val="22"/>
                <w:lang w:eastAsia="en-US"/>
                <w14:textFill>
                  <w14:solidFill>
                    <w14:schemeClr w14:val="tx1"/>
                  </w14:solidFill>
                </w14:textFill>
              </w:rPr>
              <w:t>1,0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8"/>
                <w:szCs w:val="18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Până la data de 24.09.2026 inclusiv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eastAsiaTheme="minorEastAsia" w:cstheme="minorBidi"/>
                <w:i w:val="0"/>
                <w:iCs w:val="0"/>
                <w:color w:val="000000" w:themeColor="text1"/>
                <w:sz w:val="20"/>
                <w:szCs w:val="20"/>
                <w:lang w:eastAsia="ru-RU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b/>
                <w:bCs/>
                <w:i w:val="0"/>
                <w:iCs w:val="0"/>
                <w:color w:val="000000" w:themeColor="text1"/>
                <w:sz w:val="20"/>
                <w:szCs w:val="20"/>
                <w:lang w:eastAsia="en-US"/>
                <w14:textFill>
                  <w14:solidFill>
                    <w14:schemeClr w14:val="tx1"/>
                  </w14:solidFill>
                </w14:textFill>
              </w:rPr>
              <w:t xml:space="preserve">Total lot </w:t>
            </w:r>
            <w:r>
              <w:rPr>
                <w:rFonts w:hint="default" w:ascii="Times New Roman" w:hAnsi="Times New Roman"/>
                <w:b/>
                <w:bCs/>
                <w:i w:val="0"/>
                <w:iCs w:val="0"/>
                <w:color w:val="000000" w:themeColor="text1"/>
                <w:sz w:val="20"/>
                <w:szCs w:val="20"/>
                <w:lang w:eastAsia="en-US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105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lang w:val="en-US" w:eastAsia="ru-RU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lang w:val="en-US" w:eastAsia="ro-RO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firstLine="0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b/>
                <w:bCs/>
                <w:i w:val="0"/>
                <w:iCs w:val="0"/>
                <w:color w:val="000000" w:themeColor="text1"/>
                <w:sz w:val="20"/>
                <w:szCs w:val="20"/>
                <w:lang w:eastAsia="en-US"/>
                <w14:textFill>
                  <w14:solidFill>
                    <w14:schemeClr w14:val="tx1"/>
                  </w14:solidFill>
                </w14:textFill>
              </w:rPr>
              <w:t>TOTAL</w:t>
            </w:r>
          </w:p>
        </w:tc>
        <w:tc>
          <w:tcPr>
            <w:tcW w:w="105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  <w:t>-</w:t>
            </w:r>
          </w:p>
        </w:tc>
        <w:tc>
          <w:tcPr>
            <w:tcW w:w="9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/>
                <w14:textFill>
                  <w14:solidFill>
                    <w14:schemeClr w14:val="tx1"/>
                  </w14:solidFill>
                </w14:textFill>
              </w:rPr>
              <w:t>-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u w:val="none"/>
                <w:vertAlign w:val="baseli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u w:val="none"/>
                <w:vertAlign w:val="baseli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  <w:t>-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u w:val="none"/>
                <w:vertAlign w:val="baseli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u w:val="none"/>
                <w:vertAlign w:val="baseli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  <w:t>-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</w:tbl>
    <w:p>
      <w:pPr>
        <w:rPr>
          <w:rFonts w:hint="default" w:ascii="Times New Roman" w:hAnsi="Times New Roman" w:cs="Times New Roman"/>
        </w:rPr>
      </w:pP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</w:rPr>
        <w:t xml:space="preserve">Semnat: </w:t>
      </w:r>
      <w:r>
        <w:rPr>
          <w:rFonts w:hint="default" w:ascii="Times New Roman" w:hAnsi="Times New Roman" w:cs="Times New Roman"/>
          <w:u w:val="single"/>
        </w:rPr>
        <w:t xml:space="preserve">              </w:t>
      </w:r>
      <w:r>
        <w:rPr>
          <w:rFonts w:hint="default" w:ascii="Times New Roman" w:hAnsi="Times New Roman" w:cs="Times New Roman"/>
        </w:rPr>
        <w:t xml:space="preserve"> Numele, Prenumele: </w:t>
      </w:r>
      <w:r>
        <w:rPr>
          <w:rFonts w:hint="default" w:ascii="Times New Roman" w:hAnsi="Times New Roman" w:cs="Times New Roman"/>
          <w:u w:val="single"/>
        </w:rPr>
        <w:t xml:space="preserve">                             </w:t>
      </w:r>
      <w:r>
        <w:rPr>
          <w:rFonts w:hint="default" w:ascii="Times New Roman" w:hAnsi="Times New Roman" w:cs="Times New Roman"/>
        </w:rPr>
        <w:t xml:space="preserve"> În calitate de: </w:t>
      </w:r>
      <w:r>
        <w:rPr>
          <w:rFonts w:hint="default" w:ascii="Times New Roman" w:hAnsi="Times New Roman" w:cs="Times New Roman"/>
          <w:u w:val="single"/>
        </w:rPr>
        <w:t xml:space="preserve">                 </w:t>
      </w: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  <w:u w:val="none"/>
        </w:rPr>
        <w:t xml:space="preserve">Ofertantul: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  <w:r>
        <w:rPr>
          <w:rFonts w:hint="default" w:ascii="Times New Roman" w:hAnsi="Times New Roman" w:cs="Times New Roman"/>
          <w:u w:val="none"/>
        </w:rPr>
        <w:t xml:space="preserve"> Adresa: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</w:p>
    <w:sectPr>
      <w:footerReference r:id="rId3" w:type="default"/>
      <w:pgSz w:w="16838" w:h="11906" w:orient="landscape"/>
      <w:pgMar w:top="567" w:right="567" w:bottom="567" w:left="567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CC"/>
    <w:family w:val="roman"/>
    <w:pitch w:val="default"/>
    <w:sig w:usb0="E00006FF" w:usb1="420024FF" w:usb2="02000000" w:usb3="00000000" w:csb0="2000019F" w:csb1="00000000"/>
  </w:font>
  <w:font w:name="MS PGothic">
    <w:panose1 w:val="020B0600070205080204"/>
    <w:charset w:val="80"/>
    <w:family w:val="auto"/>
    <w:pitch w:val="default"/>
    <w:sig w:usb0="E00002FF" w:usb1="6AC7FDFB" w:usb2="08000012" w:usb3="00000000" w:csb0="4002009F" w:csb1="DFD70000"/>
  </w:font>
  <w:font w:name="Segoe UI Symbol">
    <w:panose1 w:val="020B0502040204020203"/>
    <w:charset w:val="00"/>
    <w:family w:val="swiss"/>
    <w:pitch w:val="default"/>
    <w:sig w:usb0="800001E3" w:usb1="1200FFEF" w:usb2="00040000" w:usb3="04000000" w:csb0="00000001" w:csb1="4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Текстовое поле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</w:pP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begin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separate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t>1</w: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</w:pP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begin"/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instrText xml:space="preserve"> PAGE  \* MERGEFORMAT </w:instrText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separate"/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t>1</w:t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1D6A93B"/>
    <w:multiLevelType w:val="singleLevel"/>
    <w:tmpl w:val="81D6A93B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1">
    <w:nsid w:val="42B3DE26"/>
    <w:multiLevelType w:val="singleLevel"/>
    <w:tmpl w:val="42B3DE26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2">
    <w:nsid w:val="567548F6"/>
    <w:multiLevelType w:val="singleLevel"/>
    <w:tmpl w:val="567548F6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3">
    <w:nsid w:val="6DE3A9C6"/>
    <w:multiLevelType w:val="singleLevel"/>
    <w:tmpl w:val="6DE3A9C6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502C23"/>
    <w:rsid w:val="008A3100"/>
    <w:rsid w:val="00F213D0"/>
    <w:rsid w:val="00F73E22"/>
    <w:rsid w:val="01341857"/>
    <w:rsid w:val="0160637B"/>
    <w:rsid w:val="02462A4F"/>
    <w:rsid w:val="03057D24"/>
    <w:rsid w:val="038A3039"/>
    <w:rsid w:val="03962305"/>
    <w:rsid w:val="046D1A8F"/>
    <w:rsid w:val="04B03BBE"/>
    <w:rsid w:val="04B32944"/>
    <w:rsid w:val="04FA0515"/>
    <w:rsid w:val="052F6783"/>
    <w:rsid w:val="06A30084"/>
    <w:rsid w:val="06C16E21"/>
    <w:rsid w:val="075A6A3E"/>
    <w:rsid w:val="075B04E7"/>
    <w:rsid w:val="0856189A"/>
    <w:rsid w:val="08B253D3"/>
    <w:rsid w:val="08E32BEA"/>
    <w:rsid w:val="095835E2"/>
    <w:rsid w:val="09781919"/>
    <w:rsid w:val="0A064A00"/>
    <w:rsid w:val="0A1F41F1"/>
    <w:rsid w:val="0AEB6AED"/>
    <w:rsid w:val="0AEC39F9"/>
    <w:rsid w:val="0B11089E"/>
    <w:rsid w:val="0B1A6AC6"/>
    <w:rsid w:val="0BAA5EE2"/>
    <w:rsid w:val="0C722C9C"/>
    <w:rsid w:val="0D26085E"/>
    <w:rsid w:val="0D34791F"/>
    <w:rsid w:val="0D7F51EF"/>
    <w:rsid w:val="0D976E5A"/>
    <w:rsid w:val="0DE66214"/>
    <w:rsid w:val="0DFA0062"/>
    <w:rsid w:val="0EB33E90"/>
    <w:rsid w:val="0F552192"/>
    <w:rsid w:val="0F845381"/>
    <w:rsid w:val="0F96366E"/>
    <w:rsid w:val="0FE963AA"/>
    <w:rsid w:val="10204305"/>
    <w:rsid w:val="103764A9"/>
    <w:rsid w:val="10425480"/>
    <w:rsid w:val="10962649"/>
    <w:rsid w:val="10D040A2"/>
    <w:rsid w:val="10E36DA6"/>
    <w:rsid w:val="119028A6"/>
    <w:rsid w:val="11A256FB"/>
    <w:rsid w:val="11C71B03"/>
    <w:rsid w:val="11CF269B"/>
    <w:rsid w:val="124A57A9"/>
    <w:rsid w:val="12B44C98"/>
    <w:rsid w:val="12FC2E9E"/>
    <w:rsid w:val="136F4921"/>
    <w:rsid w:val="13813531"/>
    <w:rsid w:val="13AA13D0"/>
    <w:rsid w:val="13AE706D"/>
    <w:rsid w:val="13CB50AE"/>
    <w:rsid w:val="13DC3D21"/>
    <w:rsid w:val="140A5C07"/>
    <w:rsid w:val="142C4DA5"/>
    <w:rsid w:val="145E6879"/>
    <w:rsid w:val="14714E0B"/>
    <w:rsid w:val="148C1946"/>
    <w:rsid w:val="149C2A0B"/>
    <w:rsid w:val="14C31A74"/>
    <w:rsid w:val="15433EAE"/>
    <w:rsid w:val="15690030"/>
    <w:rsid w:val="15C67580"/>
    <w:rsid w:val="15CF515F"/>
    <w:rsid w:val="16176152"/>
    <w:rsid w:val="16690ECB"/>
    <w:rsid w:val="16B71ED0"/>
    <w:rsid w:val="16E8230B"/>
    <w:rsid w:val="17566556"/>
    <w:rsid w:val="17E477DC"/>
    <w:rsid w:val="18294330"/>
    <w:rsid w:val="19050E57"/>
    <w:rsid w:val="192C06DB"/>
    <w:rsid w:val="19D246EC"/>
    <w:rsid w:val="1A235F91"/>
    <w:rsid w:val="1AEB276C"/>
    <w:rsid w:val="1B0A44F5"/>
    <w:rsid w:val="1B717BA4"/>
    <w:rsid w:val="1B743D35"/>
    <w:rsid w:val="1BB90D09"/>
    <w:rsid w:val="1BCF2EAD"/>
    <w:rsid w:val="1BD23C9F"/>
    <w:rsid w:val="1BD54DB6"/>
    <w:rsid w:val="1BF974FC"/>
    <w:rsid w:val="1C095956"/>
    <w:rsid w:val="1C1C6023"/>
    <w:rsid w:val="1C7111D0"/>
    <w:rsid w:val="1C7162B9"/>
    <w:rsid w:val="1C8708F3"/>
    <w:rsid w:val="1CAF2C3E"/>
    <w:rsid w:val="1CD96BE2"/>
    <w:rsid w:val="1CFE28FC"/>
    <w:rsid w:val="1D1F7306"/>
    <w:rsid w:val="1D216EDA"/>
    <w:rsid w:val="1DB03E28"/>
    <w:rsid w:val="1E2A35E1"/>
    <w:rsid w:val="1E475809"/>
    <w:rsid w:val="1E83119C"/>
    <w:rsid w:val="1ED12D01"/>
    <w:rsid w:val="1EEC7A8C"/>
    <w:rsid w:val="1F062428"/>
    <w:rsid w:val="1F807DBA"/>
    <w:rsid w:val="1FB75898"/>
    <w:rsid w:val="20181907"/>
    <w:rsid w:val="206F1ECE"/>
    <w:rsid w:val="20BC2B87"/>
    <w:rsid w:val="213D1395"/>
    <w:rsid w:val="21A621B6"/>
    <w:rsid w:val="21AD61D1"/>
    <w:rsid w:val="21BC67F2"/>
    <w:rsid w:val="22575BBF"/>
    <w:rsid w:val="22BE600E"/>
    <w:rsid w:val="22F351E3"/>
    <w:rsid w:val="233D0DFF"/>
    <w:rsid w:val="235F5B97"/>
    <w:rsid w:val="238734D8"/>
    <w:rsid w:val="244417EA"/>
    <w:rsid w:val="24CC4FDE"/>
    <w:rsid w:val="250D45D9"/>
    <w:rsid w:val="253B2A10"/>
    <w:rsid w:val="25917193"/>
    <w:rsid w:val="259D1413"/>
    <w:rsid w:val="26665E8F"/>
    <w:rsid w:val="26957341"/>
    <w:rsid w:val="26D364C3"/>
    <w:rsid w:val="26FB54F2"/>
    <w:rsid w:val="274043A6"/>
    <w:rsid w:val="277D7855"/>
    <w:rsid w:val="27FE6EAA"/>
    <w:rsid w:val="28921BC8"/>
    <w:rsid w:val="28D72411"/>
    <w:rsid w:val="28DE416E"/>
    <w:rsid w:val="28F306BC"/>
    <w:rsid w:val="28F43F3F"/>
    <w:rsid w:val="29273174"/>
    <w:rsid w:val="29496C5F"/>
    <w:rsid w:val="295419DA"/>
    <w:rsid w:val="299E0B55"/>
    <w:rsid w:val="2A41096D"/>
    <w:rsid w:val="2A9B7773"/>
    <w:rsid w:val="2AD51ED6"/>
    <w:rsid w:val="2B010DE5"/>
    <w:rsid w:val="2B8A559C"/>
    <w:rsid w:val="2BA128A4"/>
    <w:rsid w:val="2BEC169E"/>
    <w:rsid w:val="2C133ADC"/>
    <w:rsid w:val="2C1D34E2"/>
    <w:rsid w:val="2CDC6DA8"/>
    <w:rsid w:val="2CF2314A"/>
    <w:rsid w:val="2D426C18"/>
    <w:rsid w:val="2D566D3D"/>
    <w:rsid w:val="2D7D0DE1"/>
    <w:rsid w:val="2D8B7E46"/>
    <w:rsid w:val="2DCC08AF"/>
    <w:rsid w:val="2E226A11"/>
    <w:rsid w:val="2E44509D"/>
    <w:rsid w:val="2E79424B"/>
    <w:rsid w:val="2E7C753E"/>
    <w:rsid w:val="2EE338FA"/>
    <w:rsid w:val="2EFB296D"/>
    <w:rsid w:val="2F7964B4"/>
    <w:rsid w:val="2FAB6462"/>
    <w:rsid w:val="2FB51617"/>
    <w:rsid w:val="302F125A"/>
    <w:rsid w:val="30976DA2"/>
    <w:rsid w:val="3098299F"/>
    <w:rsid w:val="30DF4C88"/>
    <w:rsid w:val="30F139DA"/>
    <w:rsid w:val="30FB0A9F"/>
    <w:rsid w:val="31044BF9"/>
    <w:rsid w:val="316D1AFD"/>
    <w:rsid w:val="318A3D7A"/>
    <w:rsid w:val="319934B1"/>
    <w:rsid w:val="31BF30E4"/>
    <w:rsid w:val="32117518"/>
    <w:rsid w:val="32691F42"/>
    <w:rsid w:val="32A40826"/>
    <w:rsid w:val="32DB0B8E"/>
    <w:rsid w:val="334E2096"/>
    <w:rsid w:val="3380750C"/>
    <w:rsid w:val="33DF2DA8"/>
    <w:rsid w:val="34386CBA"/>
    <w:rsid w:val="3453761A"/>
    <w:rsid w:val="348A6C9F"/>
    <w:rsid w:val="34C57BA3"/>
    <w:rsid w:val="34D058C0"/>
    <w:rsid w:val="34D348B8"/>
    <w:rsid w:val="35635123"/>
    <w:rsid w:val="35B4714A"/>
    <w:rsid w:val="36202A8B"/>
    <w:rsid w:val="367A5F70"/>
    <w:rsid w:val="371C5779"/>
    <w:rsid w:val="374239A8"/>
    <w:rsid w:val="37AC3D63"/>
    <w:rsid w:val="38286CC9"/>
    <w:rsid w:val="38627659"/>
    <w:rsid w:val="38874FCD"/>
    <w:rsid w:val="388B33D1"/>
    <w:rsid w:val="38A21BCA"/>
    <w:rsid w:val="38EF5674"/>
    <w:rsid w:val="3908401F"/>
    <w:rsid w:val="3957406F"/>
    <w:rsid w:val="39902C7F"/>
    <w:rsid w:val="3998008B"/>
    <w:rsid w:val="39AB195F"/>
    <w:rsid w:val="39E9692C"/>
    <w:rsid w:val="3A227FEF"/>
    <w:rsid w:val="3A2E45A5"/>
    <w:rsid w:val="3A3117B9"/>
    <w:rsid w:val="3A564669"/>
    <w:rsid w:val="3A957212"/>
    <w:rsid w:val="3ACD651F"/>
    <w:rsid w:val="3B2C03F0"/>
    <w:rsid w:val="3B314929"/>
    <w:rsid w:val="3C7030B7"/>
    <w:rsid w:val="3CD15AA7"/>
    <w:rsid w:val="3CEE333F"/>
    <w:rsid w:val="3D440A32"/>
    <w:rsid w:val="3D7D5826"/>
    <w:rsid w:val="3D7F5473"/>
    <w:rsid w:val="3D98229D"/>
    <w:rsid w:val="3DF53D49"/>
    <w:rsid w:val="3DFA4DBC"/>
    <w:rsid w:val="3DFD24EF"/>
    <w:rsid w:val="3DFF4976"/>
    <w:rsid w:val="3E274987"/>
    <w:rsid w:val="3EDF5891"/>
    <w:rsid w:val="3EEF3E6C"/>
    <w:rsid w:val="3F281FAB"/>
    <w:rsid w:val="3F9D79EB"/>
    <w:rsid w:val="3FA937FE"/>
    <w:rsid w:val="40655236"/>
    <w:rsid w:val="406903B9"/>
    <w:rsid w:val="40DF6FE1"/>
    <w:rsid w:val="40F67C72"/>
    <w:rsid w:val="41346E24"/>
    <w:rsid w:val="41610951"/>
    <w:rsid w:val="422E6A20"/>
    <w:rsid w:val="42F22356"/>
    <w:rsid w:val="430B6522"/>
    <w:rsid w:val="432230E1"/>
    <w:rsid w:val="433C115C"/>
    <w:rsid w:val="43EC32A0"/>
    <w:rsid w:val="442B4CA6"/>
    <w:rsid w:val="443747C5"/>
    <w:rsid w:val="446A7138"/>
    <w:rsid w:val="448F2A7E"/>
    <w:rsid w:val="44D212C3"/>
    <w:rsid w:val="458B32BF"/>
    <w:rsid w:val="45A72013"/>
    <w:rsid w:val="45ED64C7"/>
    <w:rsid w:val="460B5A77"/>
    <w:rsid w:val="460C79DA"/>
    <w:rsid w:val="46341E7B"/>
    <w:rsid w:val="46502377"/>
    <w:rsid w:val="4669356C"/>
    <w:rsid w:val="469D2B56"/>
    <w:rsid w:val="46C95B1B"/>
    <w:rsid w:val="48686BDB"/>
    <w:rsid w:val="48927A1F"/>
    <w:rsid w:val="48D3628A"/>
    <w:rsid w:val="49057076"/>
    <w:rsid w:val="493C0430"/>
    <w:rsid w:val="49991CBB"/>
    <w:rsid w:val="4A3459A1"/>
    <w:rsid w:val="4A383A56"/>
    <w:rsid w:val="4A593B07"/>
    <w:rsid w:val="4A7B35D0"/>
    <w:rsid w:val="4AB873A4"/>
    <w:rsid w:val="4B2B3590"/>
    <w:rsid w:val="4B8F7878"/>
    <w:rsid w:val="4B924B09"/>
    <w:rsid w:val="4C205671"/>
    <w:rsid w:val="4C6C31D0"/>
    <w:rsid w:val="4C907611"/>
    <w:rsid w:val="4CF220F9"/>
    <w:rsid w:val="4D06246C"/>
    <w:rsid w:val="4D4E2860"/>
    <w:rsid w:val="4E0500CB"/>
    <w:rsid w:val="4E1B06BB"/>
    <w:rsid w:val="4E4A6F22"/>
    <w:rsid w:val="4F6D14D3"/>
    <w:rsid w:val="50146E1C"/>
    <w:rsid w:val="502C5217"/>
    <w:rsid w:val="503179CC"/>
    <w:rsid w:val="506121EE"/>
    <w:rsid w:val="50634C0E"/>
    <w:rsid w:val="51276734"/>
    <w:rsid w:val="515D3A2F"/>
    <w:rsid w:val="51816D85"/>
    <w:rsid w:val="51FD0610"/>
    <w:rsid w:val="52272A53"/>
    <w:rsid w:val="52C812E5"/>
    <w:rsid w:val="5314398B"/>
    <w:rsid w:val="53380017"/>
    <w:rsid w:val="533D68E5"/>
    <w:rsid w:val="537E6888"/>
    <w:rsid w:val="538A03E0"/>
    <w:rsid w:val="539058A9"/>
    <w:rsid w:val="539865BA"/>
    <w:rsid w:val="539F323A"/>
    <w:rsid w:val="540839FD"/>
    <w:rsid w:val="542D135B"/>
    <w:rsid w:val="544F4A67"/>
    <w:rsid w:val="54DF2FCC"/>
    <w:rsid w:val="55280E42"/>
    <w:rsid w:val="554C7D7D"/>
    <w:rsid w:val="555A7093"/>
    <w:rsid w:val="558939DC"/>
    <w:rsid w:val="56FA0D19"/>
    <w:rsid w:val="56FE6A8B"/>
    <w:rsid w:val="57500440"/>
    <w:rsid w:val="57767AA6"/>
    <w:rsid w:val="577F10CA"/>
    <w:rsid w:val="578F06BB"/>
    <w:rsid w:val="579F77F4"/>
    <w:rsid w:val="57AC65E2"/>
    <w:rsid w:val="58510B4E"/>
    <w:rsid w:val="58BE2FA8"/>
    <w:rsid w:val="58D6288E"/>
    <w:rsid w:val="59051627"/>
    <w:rsid w:val="5AC72C37"/>
    <w:rsid w:val="5AE51DB9"/>
    <w:rsid w:val="5B0E1573"/>
    <w:rsid w:val="5B5176DD"/>
    <w:rsid w:val="5B54248C"/>
    <w:rsid w:val="5B8816A9"/>
    <w:rsid w:val="5BD42B40"/>
    <w:rsid w:val="5BEC315F"/>
    <w:rsid w:val="5C341831"/>
    <w:rsid w:val="5CE23035"/>
    <w:rsid w:val="5CF43F2D"/>
    <w:rsid w:val="5CF71093"/>
    <w:rsid w:val="5D04560C"/>
    <w:rsid w:val="5D5B5499"/>
    <w:rsid w:val="5D782062"/>
    <w:rsid w:val="5D9670B3"/>
    <w:rsid w:val="5E1636E9"/>
    <w:rsid w:val="5E4E14BA"/>
    <w:rsid w:val="5E85179E"/>
    <w:rsid w:val="5E940365"/>
    <w:rsid w:val="5EDD34B2"/>
    <w:rsid w:val="5F060DF3"/>
    <w:rsid w:val="5F107B83"/>
    <w:rsid w:val="5F291A68"/>
    <w:rsid w:val="5FCE083C"/>
    <w:rsid w:val="5FD37C31"/>
    <w:rsid w:val="6091637B"/>
    <w:rsid w:val="60BA7FC0"/>
    <w:rsid w:val="610A2A1F"/>
    <w:rsid w:val="613506B4"/>
    <w:rsid w:val="615F7CCE"/>
    <w:rsid w:val="61D80EC5"/>
    <w:rsid w:val="61F3273F"/>
    <w:rsid w:val="62C128A1"/>
    <w:rsid w:val="62E27E4A"/>
    <w:rsid w:val="630F7A14"/>
    <w:rsid w:val="63A16619"/>
    <w:rsid w:val="63F91D0A"/>
    <w:rsid w:val="64A123A9"/>
    <w:rsid w:val="655E1B91"/>
    <w:rsid w:val="656776D4"/>
    <w:rsid w:val="65792443"/>
    <w:rsid w:val="657E520F"/>
    <w:rsid w:val="659F31C5"/>
    <w:rsid w:val="65A45331"/>
    <w:rsid w:val="67F81C99"/>
    <w:rsid w:val="681B32D5"/>
    <w:rsid w:val="688E4077"/>
    <w:rsid w:val="68976726"/>
    <w:rsid w:val="68BF78E1"/>
    <w:rsid w:val="68E57E27"/>
    <w:rsid w:val="6920240C"/>
    <w:rsid w:val="693365A4"/>
    <w:rsid w:val="69AC0C58"/>
    <w:rsid w:val="6A9D7FAE"/>
    <w:rsid w:val="6AF75CE4"/>
    <w:rsid w:val="6B0768CD"/>
    <w:rsid w:val="6B0B538D"/>
    <w:rsid w:val="6B52785D"/>
    <w:rsid w:val="6B67048D"/>
    <w:rsid w:val="6B89226B"/>
    <w:rsid w:val="6C3413BA"/>
    <w:rsid w:val="6C8D0C4B"/>
    <w:rsid w:val="6CCE6ABA"/>
    <w:rsid w:val="6CE60925"/>
    <w:rsid w:val="6D8220B7"/>
    <w:rsid w:val="6DE34AE4"/>
    <w:rsid w:val="6E3C219F"/>
    <w:rsid w:val="6ECC6BD6"/>
    <w:rsid w:val="6EE51CFE"/>
    <w:rsid w:val="6F4938C2"/>
    <w:rsid w:val="6F6C0CDE"/>
    <w:rsid w:val="6F935C45"/>
    <w:rsid w:val="6FB07540"/>
    <w:rsid w:val="6FD3369D"/>
    <w:rsid w:val="70022762"/>
    <w:rsid w:val="70515D4C"/>
    <w:rsid w:val="709829C9"/>
    <w:rsid w:val="709D6E51"/>
    <w:rsid w:val="70FE5BF1"/>
    <w:rsid w:val="71076500"/>
    <w:rsid w:val="71D21478"/>
    <w:rsid w:val="71D4494F"/>
    <w:rsid w:val="71F22B08"/>
    <w:rsid w:val="72417502"/>
    <w:rsid w:val="72632F3A"/>
    <w:rsid w:val="727B22EE"/>
    <w:rsid w:val="72AC1CC9"/>
    <w:rsid w:val="72E36382"/>
    <w:rsid w:val="73100AD4"/>
    <w:rsid w:val="733D60BC"/>
    <w:rsid w:val="739E1612"/>
    <w:rsid w:val="73DD005B"/>
    <w:rsid w:val="743608B6"/>
    <w:rsid w:val="7477213F"/>
    <w:rsid w:val="74BD341A"/>
    <w:rsid w:val="74CB2F3E"/>
    <w:rsid w:val="74D74BBC"/>
    <w:rsid w:val="752949C6"/>
    <w:rsid w:val="75660FA8"/>
    <w:rsid w:val="75662603"/>
    <w:rsid w:val="756D0933"/>
    <w:rsid w:val="75CD2DB2"/>
    <w:rsid w:val="75E33D48"/>
    <w:rsid w:val="768F6393"/>
    <w:rsid w:val="77207080"/>
    <w:rsid w:val="780D04DE"/>
    <w:rsid w:val="781208A9"/>
    <w:rsid w:val="78294E0A"/>
    <w:rsid w:val="78667397"/>
    <w:rsid w:val="78F86B66"/>
    <w:rsid w:val="79252C4D"/>
    <w:rsid w:val="79CE426D"/>
    <w:rsid w:val="7AE377C7"/>
    <w:rsid w:val="7B0B2BDE"/>
    <w:rsid w:val="7B5909EE"/>
    <w:rsid w:val="7B6B5529"/>
    <w:rsid w:val="7B974C50"/>
    <w:rsid w:val="7BF628C7"/>
    <w:rsid w:val="7C250887"/>
    <w:rsid w:val="7C39225B"/>
    <w:rsid w:val="7C4F1F14"/>
    <w:rsid w:val="7CE76266"/>
    <w:rsid w:val="7D1655BB"/>
    <w:rsid w:val="7E0807F4"/>
    <w:rsid w:val="7E7365A2"/>
    <w:rsid w:val="7E806AE6"/>
    <w:rsid w:val="7EFB72DB"/>
    <w:rsid w:val="7F692E69"/>
    <w:rsid w:val="7FAE7080"/>
    <w:rsid w:val="7FF93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qFormat/>
    <w:uiPriority w:val="0"/>
    <w:pPr>
      <w:tabs>
        <w:tab w:val="center" w:pos="4153"/>
        <w:tab w:val="right" w:pos="8306"/>
      </w:tabs>
    </w:p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</w:p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font2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8">
    <w:name w:val="font01"/>
    <w:qFormat/>
    <w:uiPriority w:val="0"/>
    <w:rPr>
      <w:rFonts w:hint="default" w:ascii="Times New Roman" w:hAnsi="Times New Roman" w:cs="Times New Roman"/>
      <w:color w:val="000000"/>
      <w:u w:val="none"/>
    </w:rPr>
  </w:style>
  <w:style w:type="paragraph" w:styleId="9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Office_11.2.0.9327_F1E327BC-269C-435d-A152-05C5408002CA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2022-11-03T10:30:00Z</dcterms:created>
  <dc:creator>A_Basistii</dc:creator>
  <cp:lastModifiedBy>A_Basistii</cp:lastModifiedBy>
  <dcterms:modified xsi:type="dcterms:W3CDTF">2026-07-16T12:36:46Z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1049-11.2.0.9327</vt:lpwstr>
  </property>
  <property fmtid="{D5CDD505-2E9C-101B-9397-08002B2CF9AE}" pid="3" name="ICV">
    <vt:lpwstr>499353A4A5AC418BA605ACFA1EFDF21B_13</vt:lpwstr>
  </property>
</Properties>
</file>