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highlight w:val="none"/>
          <w:shd w:fill="auto" w:val="clear"/>
        </w:rPr>
      </w:pPr>
      <w:r>
        <w:rPr>
          <w:shd w:fill="auto" w:val="clear"/>
        </w:rPr>
      </w:r>
    </w:p>
    <w:p>
      <w:pPr>
        <w:pStyle w:val="Normal"/>
        <w:rPr>
          <w:b/>
          <w:sz w:val="28"/>
          <w:szCs w:val="28"/>
          <w:highlight w:val="none"/>
          <w:shd w:fill="auto" w:val="clear"/>
          <w:lang w:eastAsia="ru-RU"/>
        </w:rPr>
      </w:pPr>
      <w:r>
        <w:rPr>
          <w:b/>
          <w:sz w:val="28"/>
          <w:szCs w:val="28"/>
          <w:shd w:fill="auto" w:val="clear"/>
          <w:lang w:eastAsia="ru-RU"/>
        </w:rPr>
      </w:r>
    </w:p>
    <w:p>
      <w:pPr>
        <w:pStyle w:val="Normal"/>
        <w:jc w:val="end"/>
        <w:rPr>
          <w:highlight w:val="none"/>
          <w:shd w:fill="auto" w:val="clear"/>
        </w:rPr>
      </w:pPr>
      <w:r>
        <w:rPr>
          <w:shd w:fill="auto" w:val="clear"/>
        </w:rPr>
        <w:t>Anexa nr. 2</w:t>
      </w:r>
    </w:p>
    <w:p>
      <w:pPr>
        <w:pStyle w:val="Normal"/>
        <w:jc w:val="end"/>
        <w:rPr>
          <w:highlight w:val="none"/>
          <w:shd w:fill="auto" w:val="clear"/>
        </w:rPr>
      </w:pPr>
      <w:r>
        <w:rPr>
          <w:shd w:fill="auto" w:val="clear"/>
        </w:rPr>
        <w:t>la Documentația standard nr.69</w:t>
      </w:r>
    </w:p>
    <w:p>
      <w:pPr>
        <w:pStyle w:val="Normal"/>
        <w:jc w:val="end"/>
        <w:rPr>
          <w:highlight w:val="none"/>
          <w:shd w:fill="auto" w:val="clear"/>
        </w:rPr>
      </w:pPr>
      <w:r>
        <w:rPr>
          <w:shd w:fill="auto" w:val="clear"/>
        </w:rPr>
        <w:t>din 7 mai 2021</w:t>
      </w:r>
    </w:p>
    <w:p>
      <w:pPr>
        <w:pStyle w:val="Normal"/>
        <w:jc w:val="end"/>
        <w:rPr>
          <w:highlight w:val="none"/>
          <w:shd w:fill="auto" w:val="clear"/>
        </w:rPr>
      </w:pPr>
      <w:r>
        <w:rPr>
          <w:shd w:fill="auto" w:val="clear"/>
        </w:rPr>
      </w:r>
    </w:p>
    <w:p>
      <w:pPr>
        <w:pStyle w:val="Normal"/>
        <w:numPr>
          <w:ilvl w:val="0"/>
          <w:numId w:val="0"/>
        </w:numPr>
        <w:spacing w:before="120" w:after="0"/>
        <w:jc w:val="center"/>
        <w:outlineLvl w:val="0"/>
        <w:rPr>
          <w:highlight w:val="none"/>
          <w:shd w:fill="auto" w:val="clear"/>
        </w:rPr>
      </w:pPr>
      <w:r>
        <w:rPr>
          <w:b/>
          <w:sz w:val="28"/>
          <w:szCs w:val="28"/>
          <w:shd w:fill="auto" w:val="clear"/>
          <w:lang w:eastAsia="ru-RU"/>
        </w:rPr>
        <w:t>ANUNȚ DE PARTICIPARE</w:t>
      </w:r>
    </w:p>
    <w:p>
      <w:pPr>
        <w:pStyle w:val="Normal"/>
        <w:spacing w:before="120" w:after="0"/>
        <w:jc w:val="center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privind achiziționarea </w:t>
      </w:r>
      <w:r>
        <w:rPr>
          <w:b/>
          <w:sz w:val="26"/>
          <w:szCs w:val="26"/>
          <w:shd w:fill="auto" w:val="clear"/>
        </w:rPr>
        <w:t>Lucrărilor de reparație  la  IPLT Liviu Rebreanu</w:t>
      </w:r>
      <w:r>
        <w:rPr>
          <w:b/>
          <w:shd w:fill="auto" w:val="clear"/>
          <w:lang w:eastAsia="ru-RU"/>
        </w:rPr>
        <w:br/>
        <w:t xml:space="preserve">prin procedura de achiziție </w:t>
      </w:r>
      <w:r>
        <w:rPr>
          <w:b/>
          <w:sz w:val="26"/>
          <w:szCs w:val="26"/>
          <w:shd w:fill="auto" w:val="clear"/>
        </w:rPr>
        <w:t xml:space="preserve"> achizitii cu costuri mici</w:t>
      </w:r>
      <w:r>
        <w:rPr>
          <w:b/>
          <w:sz w:val="26"/>
          <w:szCs w:val="26"/>
          <w:shd w:fill="auto" w:val="clear"/>
          <w:lang w:val="en-US"/>
        </w:rPr>
        <w:t xml:space="preserve"> </w:t>
      </w:r>
    </w:p>
    <w:p>
      <w:pPr>
        <w:pStyle w:val="Normal"/>
        <w:numPr>
          <w:ilvl w:val="0"/>
          <w:numId w:val="0"/>
        </w:numPr>
        <w:shd w:val="clear" w:color="auto" w:fill="FFFFFF" w:themeFill="background1"/>
        <w:spacing w:before="120" w:after="0"/>
        <w:ind w:firstLine="720" w:start="720"/>
        <w:outlineLvl w:val="0"/>
        <w:rPr>
          <w:highlight w:val="none"/>
          <w:shd w:fill="auto" w:val="clear"/>
        </w:rPr>
      </w:pPr>
      <w:r>
        <w:rPr>
          <w:b/>
          <w:shd w:fill="auto" w:val="clear"/>
        </w:rPr>
        <w:t>LD nr. _______________________________________din _________________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284" w:leader="none"/>
          <w:tab w:val="right" w:pos="9531" w:leader="none"/>
        </w:tabs>
        <w:spacing w:before="120" w:after="0"/>
        <w:ind w:hanging="284" w:start="284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Denumirea autorității contractante: </w:t>
      </w:r>
      <w:r>
        <w:rPr>
          <w:b/>
          <w:sz w:val="26"/>
          <w:szCs w:val="26"/>
          <w:shd w:fill="auto" w:val="clear"/>
          <w:lang w:eastAsia="ru-RU"/>
        </w:rPr>
        <w:t>IPLT Liviu Rebreanu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284" w:leader="none"/>
          <w:tab w:val="right" w:pos="9531" w:leader="none"/>
        </w:tabs>
        <w:spacing w:before="120" w:after="0"/>
        <w:ind w:hanging="284" w:start="284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IDNO: </w:t>
      </w:r>
      <w:r>
        <w:rPr>
          <w:b/>
          <w:sz w:val="26"/>
          <w:szCs w:val="26"/>
          <w:shd w:fill="auto" w:val="clear"/>
          <w:lang w:eastAsia="ru-RU"/>
        </w:rPr>
        <w:t>1013620005820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284" w:leader="none"/>
          <w:tab w:val="right" w:pos="9531" w:leader="none"/>
        </w:tabs>
        <w:spacing w:before="120" w:after="0"/>
        <w:ind w:hanging="284" w:start="284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>Adresa:</w:t>
      </w:r>
      <w:r>
        <w:rPr>
          <w:b/>
          <w:sz w:val="26"/>
          <w:szCs w:val="26"/>
          <w:shd w:fill="auto" w:val="clear"/>
          <w:lang w:val="en-US"/>
        </w:rPr>
        <w:t xml:space="preserve"> </w:t>
      </w:r>
      <w:r>
        <w:rPr>
          <w:b/>
          <w:sz w:val="26"/>
          <w:szCs w:val="26"/>
          <w:shd w:fill="auto" w:val="clear"/>
        </w:rPr>
        <w:t xml:space="preserve"> </w:t>
      </w:r>
      <w:r>
        <w:rPr>
          <w:b/>
          <w:sz w:val="26"/>
          <w:szCs w:val="26"/>
          <w:shd w:fill="auto" w:val="clear"/>
          <w:lang w:eastAsia="ru-RU"/>
        </w:rPr>
        <w:t>str.Hristo Botev 9/2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284" w:leader="none"/>
          <w:tab w:val="right" w:pos="9531" w:leader="none"/>
        </w:tabs>
        <w:spacing w:before="120" w:after="0"/>
        <w:ind w:hanging="284" w:start="284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Numărul de telefon/fax: </w:t>
      </w:r>
      <w:r>
        <w:rPr>
          <w:b/>
          <w:sz w:val="26"/>
          <w:szCs w:val="26"/>
          <w:shd w:fill="auto" w:val="clear"/>
          <w:lang w:eastAsia="ru-RU"/>
        </w:rPr>
        <w:t>022 66-39-08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284" w:leader="none"/>
          <w:tab w:val="right" w:pos="9531" w:leader="none"/>
        </w:tabs>
        <w:spacing w:before="120" w:after="0"/>
        <w:ind w:hanging="284" w:start="284"/>
        <w:rPr/>
      </w:pPr>
      <w:r>
        <w:rPr>
          <w:b/>
          <w:shd w:fill="auto" w:val="clear"/>
          <w:lang w:eastAsia="ru-RU"/>
        </w:rPr>
        <w:t xml:space="preserve">Adresa de e-mail și pagina web oficială a autorității contractante: </w:t>
      </w:r>
      <w:r>
        <w:rPr>
          <w:rStyle w:val="Hyperlink"/>
          <w:b/>
          <w:sz w:val="26"/>
          <w:szCs w:val="26"/>
          <w:shd w:fill="auto" w:val="clear"/>
          <w:lang w:eastAsia="ru-RU"/>
        </w:rPr>
        <w:t>posta.rebreanu</w:t>
      </w:r>
      <w:hyperlink r:id="rId2">
        <w:r>
          <w:rPr>
            <w:rStyle w:val="Hyperlink"/>
            <w:b/>
            <w:sz w:val="26"/>
            <w:szCs w:val="26"/>
            <w:shd w:fill="auto" w:val="clear"/>
          </w:rPr>
          <w:t>@</w:t>
        </w:r>
      </w:hyperlink>
      <w:r>
        <w:rPr>
          <w:rStyle w:val="Hyperlink"/>
          <w:b/>
          <w:sz w:val="26"/>
          <w:szCs w:val="26"/>
          <w:shd w:fill="auto" w:val="clear"/>
        </w:rPr>
        <w:t>gmail.com</w:t>
      </w:r>
      <w:r>
        <w:rPr>
          <w:b/>
          <w:sz w:val="26"/>
          <w:szCs w:val="26"/>
          <w:shd w:fill="auto" w:val="clear"/>
        </w:rPr>
        <w:t xml:space="preserve">, 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284" w:leader="none"/>
          <w:tab w:val="right" w:pos="9531" w:leader="none"/>
        </w:tabs>
        <w:spacing w:before="120" w:after="0"/>
        <w:ind w:hanging="288" w:start="288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shd w:fill="auto" w:val="clear"/>
          <w:lang w:eastAsia="ru-RU"/>
        </w:rPr>
        <w:t>documentația de atribuire este anexată în cadrul procedurii în SIA RSAP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284" w:leader="none"/>
          <w:tab w:val="right" w:pos="9531" w:leader="none"/>
        </w:tabs>
        <w:spacing w:before="120" w:after="0"/>
        <w:ind w:hanging="284" w:start="284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sz w:val="26"/>
          <w:szCs w:val="26"/>
          <w:shd w:fill="auto" w:val="clear"/>
          <w:lang w:eastAsia="ru-RU"/>
        </w:rPr>
        <w:t>IPLT Liviu Rebreanu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284" w:leader="none"/>
          <w:tab w:val="right" w:pos="9531" w:leader="none"/>
        </w:tabs>
        <w:spacing w:before="120" w:after="0"/>
        <w:ind w:hanging="284" w:start="284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 </w:t>
      </w:r>
      <w:r>
        <w:rPr>
          <w:b/>
          <w:shd w:fill="auto" w:val="clear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9526" w:type="dxa"/>
        <w:jc w:val="start"/>
        <w:tblInd w:w="25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00" w:firstRow="0" w:noVBand="0" w:lastRow="0" w:firstColumn="0" w:lastColumn="0" w:noHBand="0"/>
      </w:tblPr>
      <w:tblGrid>
        <w:gridCol w:w="848"/>
        <w:gridCol w:w="1145"/>
        <w:gridCol w:w="2424"/>
        <w:gridCol w:w="966"/>
        <w:gridCol w:w="729"/>
        <w:gridCol w:w="1983"/>
        <w:gridCol w:w="1431"/>
      </w:tblGrid>
      <w:tr>
        <w:trPr>
          <w:trHeight w:val="1124" w:hRule="atLeast"/>
        </w:trPr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 xml:space="preserve">Nr. </w:t>
            </w:r>
            <w:r>
              <w:rPr>
                <w:b/>
                <w:sz w:val="20"/>
                <w:szCs w:val="20"/>
                <w:shd w:fill="auto" w:val="clear"/>
                <w:lang w:val="en-US"/>
              </w:rPr>
              <w:t>LOT</w:t>
            </w:r>
          </w:p>
          <w:p>
            <w:pPr>
              <w:pStyle w:val="Normal"/>
              <w:spacing w:before="120" w:after="0"/>
              <w:jc w:val="center"/>
              <w:rPr>
                <w:sz w:val="20"/>
                <w:szCs w:val="20"/>
                <w:highlight w:val="none"/>
                <w:shd w:fill="auto" w:val="clear"/>
                <w:lang w:val="en-US"/>
              </w:rPr>
            </w:pPr>
            <w:r>
              <w:rPr>
                <w:sz w:val="20"/>
                <w:szCs w:val="20"/>
                <w:shd w:fill="auto" w:val="clear"/>
                <w:lang w:val="en-US"/>
              </w:rPr>
            </w:r>
          </w:p>
        </w:tc>
        <w:tc>
          <w:tcPr>
            <w:tcW w:w="11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Cod CPV</w:t>
            </w:r>
          </w:p>
        </w:tc>
        <w:tc>
          <w:tcPr>
            <w:tcW w:w="24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  <w:lang w:val="en-US"/>
              </w:rPr>
              <w:t>Denumirea bunurilor/serviciilor/lucrărilor solicitate</w:t>
            </w:r>
          </w:p>
        </w:tc>
        <w:tc>
          <w:tcPr>
            <w:tcW w:w="9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Unitatea de măsură</w:t>
            </w:r>
          </w:p>
        </w:tc>
        <w:tc>
          <w:tcPr>
            <w:tcW w:w="7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  <w:t>Cant.</w:t>
            </w:r>
          </w:p>
        </w:tc>
        <w:tc>
          <w:tcPr>
            <w:tcW w:w="19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  <w:lang w:val="en-US"/>
              </w:rPr>
              <w:t>Specificarea tehnică deplină solicitată, Standarde de referință</w:t>
            </w:r>
          </w:p>
        </w:tc>
        <w:tc>
          <w:tcPr>
            <w:tcW w:w="14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D9D9D9" w:val="clear"/>
          </w:tcPr>
          <w:p>
            <w:pPr>
              <w:pStyle w:val="Normal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  <w:lang w:val="en-US"/>
              </w:rPr>
              <w:t>Valoarea estimată</w:t>
              <w:br/>
              <w:t>(se va indica pentru fiecare lot în parte)</w:t>
            </w:r>
          </w:p>
        </w:tc>
      </w:tr>
      <w:tr>
        <w:trPr>
          <w:trHeight w:val="255" w:hRule="atLeast"/>
        </w:trPr>
        <w:tc>
          <w:tcPr>
            <w:tcW w:w="9526" w:type="dxa"/>
            <w:gridSpan w:val="7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6"/>
                <w:szCs w:val="26"/>
                <w:shd w:fill="auto" w:val="clear"/>
              </w:rPr>
              <w:t>Lucrări de reparații curente</w:t>
            </w:r>
          </w:p>
        </w:tc>
      </w:tr>
      <w:tr>
        <w:trPr>
          <w:trHeight w:val="648" w:hRule="atLeast"/>
        </w:trPr>
        <w:tc>
          <w:tcPr>
            <w:tcW w:w="848" w:type="dxa"/>
            <w:tcBorders>
              <w:top w:val="single" w:sz="4" w:space="0" w:color="000000"/>
              <w:start w:val="single" w:sz="4" w:space="0" w:color="000000"/>
            </w:tcBorders>
            <w:vAlign w:val="center"/>
          </w:tcPr>
          <w:p>
            <w:pPr>
              <w:pStyle w:val="Normal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>1.1</w:t>
            </w:r>
          </w:p>
        </w:tc>
        <w:tc>
          <w:tcPr>
            <w:tcW w:w="11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>45400000-1</w:t>
            </w:r>
          </w:p>
        </w:tc>
        <w:tc>
          <w:tcPr>
            <w:tcW w:w="24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end="56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6"/>
                <w:szCs w:val="26"/>
                <w:shd w:fill="auto" w:val="clear"/>
              </w:rPr>
              <w:t>Lucrări de reparații curente</w:t>
            </w:r>
          </w:p>
        </w:tc>
        <w:tc>
          <w:tcPr>
            <w:tcW w:w="9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  <w:t>lucrare</w:t>
            </w:r>
          </w:p>
        </w:tc>
        <w:tc>
          <w:tcPr>
            <w:tcW w:w="7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  <w:lang w:val="en-US"/>
              </w:rPr>
              <w:t>1</w:t>
            </w:r>
          </w:p>
        </w:tc>
        <w:tc>
          <w:tcPr>
            <w:tcW w:w="19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  <w:lang w:val="en-US"/>
              </w:rPr>
              <w:t>Conform caietelor de sarcini atașate nr. 1, 2</w:t>
            </w:r>
          </w:p>
        </w:tc>
        <w:tc>
          <w:tcPr>
            <w:tcW w:w="1431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  <w:lang w:val="en-US"/>
              </w:rPr>
              <w:t>426073,51</w:t>
            </w:r>
          </w:p>
        </w:tc>
      </w:tr>
      <w:tr>
        <w:trPr>
          <w:trHeight w:val="648" w:hRule="atLeast"/>
        </w:trPr>
        <w:tc>
          <w:tcPr>
            <w:tcW w:w="848" w:type="dxa"/>
            <w:tcBorders>
              <w:top w:val="single" w:sz="4" w:space="0" w:color="000000"/>
              <w:start w:val="single" w:sz="4" w:space="0" w:color="000000"/>
            </w:tcBorders>
            <w:vAlign w:val="center"/>
          </w:tcPr>
          <w:p>
            <w:pPr>
              <w:pStyle w:val="Normal"/>
              <w:spacing w:before="120" w:after="0"/>
              <w:jc w:val="center"/>
              <w:rPr>
                <w:sz w:val="20"/>
                <w:szCs w:val="20"/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  <w:tc>
          <w:tcPr>
            <w:tcW w:w="11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120" w:after="0"/>
              <w:jc w:val="center"/>
              <w:rPr>
                <w:sz w:val="20"/>
                <w:szCs w:val="20"/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  <w:tc>
          <w:tcPr>
            <w:tcW w:w="24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end="56"/>
              <w:jc w:val="center"/>
              <w:rPr>
                <w:b/>
                <w:sz w:val="20"/>
                <w:szCs w:val="20"/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</w:rPr>
            </w:r>
          </w:p>
        </w:tc>
        <w:tc>
          <w:tcPr>
            <w:tcW w:w="9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120" w:after="0"/>
              <w:jc w:val="center"/>
              <w:rPr>
                <w:sz w:val="20"/>
                <w:szCs w:val="20"/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  <w:tc>
          <w:tcPr>
            <w:tcW w:w="7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120" w:after="0"/>
              <w:jc w:val="center"/>
              <w:rPr>
                <w:sz w:val="20"/>
                <w:szCs w:val="20"/>
                <w:highlight w:val="none"/>
                <w:shd w:fill="auto" w:val="clear"/>
                <w:lang w:val="en-US"/>
              </w:rPr>
            </w:pPr>
            <w:r>
              <w:rPr>
                <w:sz w:val="20"/>
                <w:szCs w:val="20"/>
                <w:shd w:fill="auto" w:val="clear"/>
                <w:lang w:val="en-US"/>
              </w:rPr>
            </w:r>
          </w:p>
        </w:tc>
        <w:tc>
          <w:tcPr>
            <w:tcW w:w="19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120" w:after="0"/>
              <w:jc w:val="center"/>
              <w:rPr>
                <w:sz w:val="20"/>
                <w:szCs w:val="20"/>
                <w:highlight w:val="none"/>
                <w:shd w:fill="auto" w:val="clear"/>
                <w:lang w:val="en-US"/>
              </w:rPr>
            </w:pPr>
            <w:r>
              <w:rPr>
                <w:sz w:val="20"/>
                <w:szCs w:val="20"/>
                <w:shd w:fill="auto" w:val="clear"/>
                <w:lang w:val="en-US"/>
              </w:rPr>
            </w:r>
          </w:p>
        </w:tc>
        <w:tc>
          <w:tcPr>
            <w:tcW w:w="1431" w:type="dxa"/>
            <w:vMerge w:val="continue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120" w:after="0"/>
              <w:jc w:val="center"/>
              <w:rPr>
                <w:sz w:val="20"/>
                <w:szCs w:val="20"/>
                <w:highlight w:val="none"/>
                <w:shd w:fill="auto" w:val="clear"/>
                <w:lang w:val="en-US"/>
              </w:rPr>
            </w:pPr>
            <w:r>
              <w:rPr>
                <w:sz w:val="20"/>
                <w:szCs w:val="20"/>
                <w:shd w:fill="auto" w:val="clear"/>
                <w:lang w:val="en-US"/>
              </w:rPr>
            </w:r>
          </w:p>
        </w:tc>
      </w:tr>
      <w:tr>
        <w:trPr>
          <w:trHeight w:val="283" w:hRule="atLeast"/>
        </w:trPr>
        <w:tc>
          <w:tcPr>
            <w:tcW w:w="809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sz w:val="20"/>
                <w:szCs w:val="20"/>
                <w:shd w:fill="auto" w:val="clear"/>
                <w:lang w:val="en-US"/>
              </w:rPr>
              <w:t>Valoarea estimativă totală</w:t>
            </w:r>
            <w:r>
              <w:rPr>
                <w:b/>
                <w:sz w:val="20"/>
                <w:szCs w:val="20"/>
                <w:shd w:fill="auto" w:val="clear"/>
              </w:rPr>
              <w:t>, lei fără TVA:</w:t>
            </w:r>
          </w:p>
        </w:tc>
        <w:tc>
          <w:tcPr>
            <w:tcW w:w="14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120" w:after="0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bCs/>
                <w:sz w:val="20"/>
                <w:szCs w:val="20"/>
                <w:shd w:fill="auto" w:val="clear"/>
                <w:lang w:val="en-US"/>
              </w:rPr>
              <w:t>426073,51</w:t>
            </w:r>
          </w:p>
        </w:tc>
      </w:tr>
    </w:tbl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360" w:start="36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>În cazul procedurilor de preselecție se indică numărul minim al candidaţilor şi, dacă este cazul, numărul maxim al acestora. NU SE APLICĂ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ind w:hanging="360" w:start="357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În cazul în care contractul este împărțit pe loturi, un operator economic poate depune </w:t>
      </w:r>
    </w:p>
    <w:p>
      <w:pPr>
        <w:pStyle w:val="Normal"/>
        <w:shd w:val="clear" w:color="auto" w:fill="FFFFFF" w:themeFill="background1"/>
        <w:tabs>
          <w:tab w:val="clear" w:pos="720"/>
          <w:tab w:val="right" w:pos="426" w:leader="none"/>
        </w:tabs>
        <w:ind w:start="357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>oferta (se va selecta):</w:t>
      </w:r>
    </w:p>
    <w:p>
      <w:pPr>
        <w:pStyle w:val="Normal"/>
        <w:numPr>
          <w:ilvl w:val="0"/>
          <w:numId w:val="3"/>
        </w:numPr>
        <w:tabs>
          <w:tab w:val="clear" w:pos="720"/>
          <w:tab w:val="right" w:pos="426" w:leader="none"/>
        </w:tabs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>Pentru un singur lot;</w:t>
      </w:r>
    </w:p>
    <w:p>
      <w:pPr>
        <w:pStyle w:val="Normal"/>
        <w:numPr>
          <w:ilvl w:val="0"/>
          <w:numId w:val="3"/>
        </w:numPr>
        <w:tabs>
          <w:tab w:val="clear" w:pos="720"/>
          <w:tab w:val="right" w:pos="426" w:leader="none"/>
        </w:tabs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>Pentru mai multe loturi;</w:t>
      </w:r>
    </w:p>
    <w:p>
      <w:pPr>
        <w:pStyle w:val="Normal"/>
        <w:numPr>
          <w:ilvl w:val="0"/>
          <w:numId w:val="3"/>
        </w:numPr>
        <w:shd w:val="clear" w:color="auto" w:fill="FFFFFF" w:themeFill="background1"/>
        <w:tabs>
          <w:tab w:val="clear" w:pos="720"/>
          <w:tab w:val="right" w:pos="426" w:leader="none"/>
        </w:tabs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>Pentru toate loturile;</w:t>
      </w:r>
    </w:p>
    <w:p>
      <w:pPr>
        <w:pStyle w:val="Normal"/>
        <w:numPr>
          <w:ilvl w:val="0"/>
          <w:numId w:val="3"/>
        </w:numPr>
        <w:shd w:val="clear" w:color="auto" w:fill="FFFFFF" w:themeFill="background1"/>
        <w:tabs>
          <w:tab w:val="clear" w:pos="720"/>
          <w:tab w:val="right" w:pos="426" w:leader="none"/>
        </w:tabs>
        <w:rPr>
          <w:highlight w:val="none"/>
          <w:shd w:fill="auto" w:val="clear"/>
        </w:rPr>
      </w:pPr>
      <w:r>
        <w:rPr>
          <w:shd w:fill="auto" w:val="clear"/>
          <w:lang w:eastAsia="ru-RU"/>
        </w:rPr>
        <w:t>Alte limitări privind numărul de loturi care pot fi atribuite aceluiași ofertant___________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0" w:start="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Admiterea sau interzicerea ofertelor alternative: </w:t>
      </w:r>
      <w:r>
        <w:rPr>
          <w:b/>
          <w:shd w:fill="auto" w:val="clear"/>
          <w:lang w:val="en-US"/>
        </w:rPr>
        <w:t>nu se admite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0" w:leader="none"/>
          <w:tab w:val="left" w:pos="284" w:leader="none"/>
          <w:tab w:val="left" w:pos="426" w:leader="none"/>
        </w:tabs>
        <w:spacing w:before="120" w:after="0"/>
        <w:ind w:hanging="360" w:start="360"/>
        <w:jc w:val="both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Termenii și condițiile de prestare/executare solicitați: </w:t>
      </w:r>
      <w:r>
        <w:rPr>
          <w:b/>
          <w:shd w:fill="auto" w:val="clear"/>
        </w:rPr>
        <w:t>În decurs de 40 zile calendaristice de la înregistrarea contractului la Trezorerie.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left" w:pos="0" w:leader="none"/>
          <w:tab w:val="left" w:pos="284" w:leader="none"/>
          <w:tab w:val="left" w:pos="426" w:leader="none"/>
        </w:tabs>
        <w:spacing w:before="120" w:after="0"/>
        <w:ind w:hanging="284" w:start="284"/>
        <w:jc w:val="both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Termenul de valabilitate a contractului: </w:t>
      </w:r>
      <w:r>
        <w:rPr>
          <w:b/>
          <w:shd w:fill="auto" w:val="clear"/>
        </w:rPr>
        <w:t>pînă la data de 31.12.2026</w:t>
      </w:r>
    </w:p>
    <w:p>
      <w:pPr>
        <w:pStyle w:val="Normal"/>
        <w:numPr>
          <w:ilvl w:val="0"/>
          <w:numId w:val="2"/>
        </w:numPr>
        <w:tabs>
          <w:tab w:val="clear" w:pos="720"/>
          <w:tab w:val="right" w:pos="426" w:leader="none"/>
        </w:tabs>
        <w:spacing w:before="120" w:after="0"/>
        <w:ind w:hanging="360" w:start="36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hd w:fill="auto" w:val="clear"/>
          <w:lang w:val="en-US"/>
        </w:rPr>
        <w:t>nu se aplică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360" w:start="36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Prestarea serviciului este rezervată unei anumite profesii în temeiul unor legisau al unor acte administrative (după caz): </w:t>
      </w:r>
      <w:r>
        <w:rPr>
          <w:b/>
          <w:shd w:fill="auto" w:val="clear"/>
          <w:lang w:val="en-US"/>
        </w:rPr>
        <w:t>nu se aplică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360" w:start="36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W w:w="9933" w:type="dxa"/>
        <w:jc w:val="start"/>
        <w:tblInd w:w="-14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00" w:firstRow="0" w:noVBand="0" w:lastRow="0" w:firstColumn="0" w:lastColumn="0" w:noHBand="0"/>
      </w:tblPr>
      <w:tblGrid>
        <w:gridCol w:w="571"/>
        <w:gridCol w:w="2697"/>
        <w:gridCol w:w="5386"/>
        <w:gridCol w:w="1279"/>
      </w:tblGrid>
      <w:tr>
        <w:trPr>
          <w:trHeight w:val="713" w:hRule="atLeast"/>
        </w:trPr>
        <w:tc>
          <w:tcPr>
            <w:tcW w:w="5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D9D9D9" w:val="clear"/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b/>
                <w:iCs/>
                <w:shd w:fill="auto" w:val="clear"/>
              </w:rPr>
              <w:t>Nr. d/o</w:t>
            </w:r>
          </w:p>
        </w:tc>
        <w:tc>
          <w:tcPr>
            <w:tcW w:w="26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D9D9D9" w:val="clear"/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iCs/>
                <w:shd w:fill="auto" w:val="clear"/>
              </w:rPr>
              <w:t>Descrierea criteriului/cerinței</w:t>
            </w:r>
          </w:p>
        </w:tc>
        <w:tc>
          <w:tcPr>
            <w:tcW w:w="538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D9D9D9" w:val="clear"/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b/>
                <w:iCs/>
                <w:shd w:fill="auto" w:val="clear"/>
                <w:lang w:val="en-US"/>
              </w:rPr>
              <w:t>Mod de demonstrare a îndeplinirii criteriului/cerinței:</w:t>
            </w:r>
          </w:p>
        </w:tc>
        <w:tc>
          <w:tcPr>
            <w:tcW w:w="12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D9D9D9" w:val="clear"/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iCs/>
                <w:shd w:fill="auto" w:val="clear"/>
              </w:rPr>
              <w:t>Nivelul minim/</w:t>
              <w:br/>
              <w:t>Obligativitatea</w:t>
            </w:r>
          </w:p>
        </w:tc>
      </w:tr>
      <w:tr>
        <w:trPr>
          <w:trHeight w:val="70" w:hRule="atLeast"/>
        </w:trPr>
        <w:tc>
          <w:tcPr>
            <w:tcW w:w="5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1</w:t>
            </w:r>
          </w:p>
        </w:tc>
        <w:tc>
          <w:tcPr>
            <w:tcW w:w="26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DUAE</w:t>
            </w:r>
          </w:p>
        </w:tc>
        <w:tc>
          <w:tcPr>
            <w:tcW w:w="538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Conform formularului atașat în SIARSAP, confirmat prin semnătura electronică a ofertantului.</w:t>
            </w:r>
          </w:p>
        </w:tc>
        <w:tc>
          <w:tcPr>
            <w:tcW w:w="12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jc w:val="center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Obligatoriu</w:t>
            </w:r>
          </w:p>
        </w:tc>
      </w:tr>
      <w:tr>
        <w:trPr>
          <w:trHeight w:val="70" w:hRule="atLeast"/>
        </w:trPr>
        <w:tc>
          <w:tcPr>
            <w:tcW w:w="5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val="en-US"/>
              </w:rPr>
              <w:t>2</w:t>
            </w:r>
          </w:p>
        </w:tc>
        <w:tc>
          <w:tcPr>
            <w:tcW w:w="26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val="en-US"/>
              </w:rPr>
              <w:t>Propunerea financiară</w:t>
            </w:r>
          </w:p>
        </w:tc>
        <w:tc>
          <w:tcPr>
            <w:tcW w:w="538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b/>
                <w:bCs/>
                <w:iCs/>
                <w:sz w:val="20"/>
                <w:szCs w:val="20"/>
                <w:shd w:fill="auto" w:val="clear"/>
              </w:rPr>
              <w:t>Conform formularului atașat în SIARSAP</w:t>
            </w:r>
            <w:r>
              <w:rPr>
                <w:iCs/>
                <w:sz w:val="20"/>
                <w:szCs w:val="20"/>
                <w:shd w:fill="auto" w:val="clear"/>
              </w:rPr>
              <w:t>, confirmat prin semnătura electronică a ofertantului.</w:t>
            </w:r>
          </w:p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iCs/>
                <w:sz w:val="20"/>
                <w:szCs w:val="20"/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</w:r>
            <w:bookmarkStart w:id="0" w:name="_GoBack"/>
            <w:bookmarkEnd w:id="0"/>
          </w:p>
        </w:tc>
        <w:tc>
          <w:tcPr>
            <w:tcW w:w="12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jc w:val="center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val="en-US"/>
              </w:rPr>
              <w:t>Obligatoriu</w:t>
            </w:r>
          </w:p>
        </w:tc>
      </w:tr>
      <w:tr>
        <w:trPr>
          <w:trHeight w:val="70" w:hRule="atLeast"/>
        </w:trPr>
        <w:tc>
          <w:tcPr>
            <w:tcW w:w="5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3</w:t>
            </w:r>
          </w:p>
        </w:tc>
        <w:tc>
          <w:tcPr>
            <w:tcW w:w="26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  <w:lang w:val="en-GB"/>
              </w:rPr>
              <w:t>Cerere de participare (Anexa nr.7)</w:t>
            </w:r>
          </w:p>
        </w:tc>
        <w:tc>
          <w:tcPr>
            <w:tcW w:w="538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Confirmat prin semnătura electronică a ofertantului.</w:t>
            </w:r>
          </w:p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Conform Anexei nr. 7 din documentația standard</w:t>
            </w:r>
          </w:p>
        </w:tc>
        <w:tc>
          <w:tcPr>
            <w:tcW w:w="12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jc w:val="center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Obligatoriu</w:t>
            </w:r>
          </w:p>
        </w:tc>
      </w:tr>
      <w:tr>
        <w:trPr>
          <w:trHeight w:val="760" w:hRule="atLeast"/>
        </w:trPr>
        <w:tc>
          <w:tcPr>
            <w:tcW w:w="5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  <w:lang w:val="en-GB"/>
              </w:rPr>
              <w:t>4</w:t>
            </w:r>
          </w:p>
        </w:tc>
        <w:tc>
          <w:tcPr>
            <w:tcW w:w="26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  <w:lang w:val="en-GB"/>
              </w:rPr>
              <w:t>Declaraţie privind valabilitatea ofertei (Anexa nr. 8)</w:t>
            </w:r>
          </w:p>
        </w:tc>
        <w:tc>
          <w:tcPr>
            <w:tcW w:w="538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Confirmat prin semnătura electronică a ofertantului.</w:t>
            </w:r>
          </w:p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Conform Anexei nr. 8 din documentația standard</w:t>
            </w:r>
          </w:p>
        </w:tc>
        <w:tc>
          <w:tcPr>
            <w:tcW w:w="12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jc w:val="center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Obligatoriu</w:t>
            </w:r>
          </w:p>
        </w:tc>
      </w:tr>
      <w:tr>
        <w:trPr>
          <w:trHeight w:val="1244" w:hRule="atLeast"/>
        </w:trPr>
        <w:tc>
          <w:tcPr>
            <w:tcW w:w="5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napToGrid w:val="false"/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5</w:t>
            </w:r>
          </w:p>
        </w:tc>
        <w:tc>
          <w:tcPr>
            <w:tcW w:w="26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Garanția pentru ofertă (Anexa nr. 9) sau transfer la contul autorității contractante</w:t>
            </w:r>
          </w:p>
        </w:tc>
        <w:tc>
          <w:tcPr>
            <w:tcW w:w="538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0"/>
              <w:rPr>
                <w:highlight w:val="none"/>
                <w:shd w:fill="auto" w:val="clear"/>
              </w:rPr>
            </w:pPr>
            <w:r>
              <w:rPr>
                <w:b/>
                <w:bCs/>
                <w:iCs/>
                <w:sz w:val="20"/>
                <w:szCs w:val="20"/>
                <w:shd w:fill="auto" w:val="clear"/>
              </w:rPr>
              <w:t>În cuantum de 1 % din valoarea ofertei fără TVA.</w:t>
            </w:r>
          </w:p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Confirmat prin semnătura electronică a ofertantului. Garanţie pentru ofertă (emisă de o bancă comercială) conform Anexei nr. 9 din documentația standard</w:t>
            </w:r>
          </w:p>
          <w:p>
            <w:pPr>
              <w:pStyle w:val="Normal"/>
              <w:tabs>
                <w:tab w:val="clear" w:pos="720"/>
                <w:tab w:val="left" w:pos="372" w:leader="none"/>
              </w:tabs>
              <w:spacing w:before="120" w:after="120"/>
              <w:ind w:start="372"/>
              <w:rPr>
                <w:highlight w:val="none"/>
                <w:shd w:fill="auto" w:val="clear"/>
              </w:rPr>
            </w:pPr>
            <w:r>
              <w:rPr>
                <w:b/>
                <w:bCs/>
                <w:iCs/>
                <w:sz w:val="20"/>
                <w:szCs w:val="20"/>
                <w:shd w:fill="auto" w:val="clear"/>
              </w:rPr>
              <w:t>sau</w:t>
            </w:r>
          </w:p>
          <w:p>
            <w:pPr>
              <w:pStyle w:val="Normal"/>
              <w:tabs>
                <w:tab w:val="clear" w:pos="720"/>
                <w:tab w:val="left" w:pos="372" w:leader="none"/>
              </w:tabs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Garanţia pentru ofertă prin transfer la contul autorităţii contractante, conform următoarelor date bancare:</w:t>
            </w:r>
          </w:p>
          <w:p>
            <w:pPr>
              <w:pStyle w:val="Normal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Beneficiarul plăţii:SERVICIUL DE INFORMAŢII ŞI SECURITATE AL REPUBLICII MOLDOVA</w:t>
            </w:r>
          </w:p>
          <w:p>
            <w:pPr>
              <w:pStyle w:val="Normal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Denumirea Băncii: Ministerul Finantelor – Trezoreria de Stat</w:t>
            </w:r>
          </w:p>
          <w:p>
            <w:pPr>
              <w:pStyle w:val="Normal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Codul fiscal: 1006601000439</w:t>
            </w:r>
          </w:p>
          <w:p>
            <w:pPr>
              <w:pStyle w:val="Normal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IBAN: MD83TRPCAA518410A00462AA</w:t>
            </w:r>
          </w:p>
          <w:p>
            <w:pPr>
              <w:pStyle w:val="Normal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Contul trezorerial: TREZMD2X</w:t>
            </w:r>
          </w:p>
          <w:p>
            <w:pPr>
              <w:pStyle w:val="Normal"/>
              <w:tabs>
                <w:tab w:val="clear" w:pos="720"/>
                <w:tab w:val="left" w:pos="1152" w:leader="none"/>
              </w:tabs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cu nota “Pentru garanţia pentru ofertă la procedura de achiziție publică inițiată de SIS al RM în SIARSAP Mtender”</w:t>
            </w:r>
          </w:p>
        </w:tc>
        <w:tc>
          <w:tcPr>
            <w:tcW w:w="12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napToGrid w:val="false"/>
              <w:spacing w:before="120" w:after="120"/>
              <w:jc w:val="center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val="en-US"/>
              </w:rPr>
              <w:t>Obligatoriu</w:t>
            </w:r>
          </w:p>
        </w:tc>
      </w:tr>
      <w:tr>
        <w:trPr>
          <w:trHeight w:val="701" w:hRule="atLeast"/>
        </w:trPr>
        <w:tc>
          <w:tcPr>
            <w:tcW w:w="571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napToGrid w:val="false"/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6</w:t>
            </w:r>
          </w:p>
        </w:tc>
        <w:tc>
          <w:tcPr>
            <w:tcW w:w="269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Grafic de executare a lucrărilor</w:t>
            </w:r>
          </w:p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 xml:space="preserve"> </w:t>
            </w:r>
            <w:r>
              <w:rPr>
                <w:iCs/>
                <w:sz w:val="20"/>
                <w:szCs w:val="20"/>
                <w:shd w:fill="auto" w:val="clear"/>
              </w:rPr>
              <w:t>(Anexa nr. 10)</w:t>
            </w:r>
          </w:p>
        </w:tc>
        <w:tc>
          <w:tcPr>
            <w:tcW w:w="538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Confirmat prin semnătura electronică a ofertantului.</w:t>
            </w:r>
          </w:p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Conform Anexei nr. 10 din documentația standard</w:t>
            </w:r>
          </w:p>
        </w:tc>
        <w:tc>
          <w:tcPr>
            <w:tcW w:w="12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jc w:val="center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val="en-US"/>
              </w:rPr>
              <w:t>Obligatoriu</w:t>
            </w:r>
          </w:p>
        </w:tc>
      </w:tr>
      <w:tr>
        <w:trPr>
          <w:trHeight w:val="557" w:hRule="atLeast"/>
        </w:trPr>
        <w:tc>
          <w:tcPr>
            <w:tcW w:w="571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napToGrid w:val="false"/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7</w:t>
            </w:r>
          </w:p>
        </w:tc>
        <w:tc>
          <w:tcPr>
            <w:tcW w:w="269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Devizele locale aferente ofertei</w:t>
            </w:r>
          </w:p>
        </w:tc>
        <w:tc>
          <w:tcPr>
            <w:tcW w:w="538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rPr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  <w:lang w:val="en-US"/>
              </w:rPr>
              <w:t xml:space="preserve">Formularele 3, 5, 7 cu specificatia parametrilor tehnici solicitati in caietul de sarcini. </w:t>
              <w:br/>
            </w:r>
            <w:r>
              <w:rPr>
                <w:iCs/>
                <w:sz w:val="20"/>
                <w:szCs w:val="20"/>
                <w:shd w:fill="auto" w:val="clear"/>
              </w:rPr>
              <w:t>Confirmat prin semnătura electronică a ofertantului.</w:t>
            </w:r>
          </w:p>
        </w:tc>
        <w:tc>
          <w:tcPr>
            <w:tcW w:w="12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jc w:val="center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val="en-US"/>
              </w:rPr>
              <w:t>Obligatoriu</w:t>
            </w:r>
          </w:p>
        </w:tc>
      </w:tr>
      <w:tr>
        <w:trPr>
          <w:trHeight w:val="1244" w:hRule="atLeast"/>
        </w:trPr>
        <w:tc>
          <w:tcPr>
            <w:tcW w:w="571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napToGrid w:val="false"/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  <w:lang w:val="en-GB"/>
              </w:rPr>
              <w:t>8</w:t>
            </w:r>
          </w:p>
        </w:tc>
        <w:tc>
          <w:tcPr>
            <w:tcW w:w="269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eastAsia="en-GB"/>
              </w:rPr>
              <w:t xml:space="preserve">Declarație privind experiența similară (Anexa nr. 12) </w:t>
            </w:r>
            <w:r>
              <w:rPr>
                <w:b/>
                <w:bCs/>
                <w:iCs/>
                <w:sz w:val="20"/>
                <w:szCs w:val="20"/>
                <w:shd w:fill="auto" w:val="clear"/>
                <w:lang w:eastAsia="en-GB"/>
              </w:rPr>
              <w:t>sau</w:t>
            </w:r>
            <w:r>
              <w:rPr>
                <w:iCs/>
                <w:sz w:val="20"/>
                <w:szCs w:val="20"/>
                <w:shd w:fill="auto" w:val="clear"/>
                <w:lang w:eastAsia="en-GB"/>
              </w:rPr>
              <w:t xml:space="preserve"> Declarație privind lista principalelor lucrări executate în ultimul an de activitate (Anexa nr. 13)</w:t>
            </w:r>
          </w:p>
          <w:p>
            <w:pPr>
              <w:pStyle w:val="Normal"/>
              <w:spacing w:lineRule="auto" w:line="276" w:before="120" w:after="120"/>
              <w:rPr>
                <w:highlight w:val="none"/>
                <w:shd w:fill="auto" w:val="clear"/>
              </w:rPr>
            </w:pPr>
            <w:r>
              <w:rPr>
                <w:b/>
                <w:bCs/>
                <w:iCs/>
                <w:sz w:val="20"/>
                <w:szCs w:val="20"/>
                <w:shd w:fill="auto" w:val="clear"/>
              </w:rPr>
              <w:t>Toate contractele trebuie</w:t>
              <w:br/>
              <w:t>confirmate prin procesul verbal de recepţie</w:t>
              <w:br/>
              <w:t xml:space="preserve">finală a lucrărilor </w:t>
            </w:r>
            <w:r>
              <w:rPr>
                <w:b/>
                <w:bCs/>
                <w:iCs/>
                <w:sz w:val="20"/>
                <w:szCs w:val="20"/>
                <w:shd w:fill="auto" w:val="clear"/>
                <w:lang w:val="en-US"/>
              </w:rPr>
              <w:t xml:space="preserve">precum </w:t>
            </w:r>
            <w:r>
              <w:rPr>
                <w:b/>
                <w:bCs/>
                <w:iCs/>
                <w:sz w:val="20"/>
                <w:szCs w:val="20"/>
                <w:shd w:fill="auto" w:val="clear"/>
              </w:rPr>
              <w:t>și prin recomandările beneficiarilor.</w:t>
            </w:r>
          </w:p>
        </w:tc>
        <w:tc>
          <w:tcPr>
            <w:tcW w:w="538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Ofertantul (operator economic sau membrii asocierii împreună) trebuie să demonstreze că a</w:t>
              <w:br/>
              <w:t>finalizat în ultimii 5 ani (calculaţi până la data</w:t>
              <w:br/>
              <w:t>limită de depunere a ofertelor): - un contract ce</w:t>
              <w:br/>
              <w:t>au avut ca obiect execuţia unor lucrări similare</w:t>
              <w:br/>
              <w:t>cu cele ce fac obiectul contractului ce urmează a</w:t>
              <w:br/>
              <w:t>fi atribuit, cel puţin egal cu 100 % din valoarea</w:t>
              <w:br/>
              <w:t>viitorului contract. (Anexa 12)</w:t>
            </w:r>
          </w:p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b/>
                <w:bCs/>
                <w:iCs/>
                <w:sz w:val="20"/>
                <w:szCs w:val="20"/>
                <w:shd w:fill="auto" w:val="clear"/>
              </w:rPr>
              <w:t>sau</w:t>
            </w:r>
            <w:r>
              <w:rPr>
                <w:iCs/>
                <w:sz w:val="20"/>
                <w:szCs w:val="20"/>
                <w:shd w:fill="auto" w:val="clear"/>
              </w:rPr>
              <w:br/>
              <w:t>valoarea cumulată a tuturor contractelor</w:t>
              <w:br/>
              <w:t>executate în ultimul an de activitate să fie egală</w:t>
              <w:br/>
              <w:t>sau mai mare decît valoarea viitorului contract.</w:t>
              <w:br/>
              <w:t>(Anexa 13)</w:t>
            </w:r>
          </w:p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Confirmat prin semnătura electronică a ofertantului.</w:t>
            </w:r>
          </w:p>
        </w:tc>
        <w:tc>
          <w:tcPr>
            <w:tcW w:w="12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jc w:val="center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val="en-US"/>
              </w:rPr>
              <w:t>Obligatoriu</w:t>
            </w:r>
          </w:p>
        </w:tc>
      </w:tr>
      <w:tr>
        <w:trPr>
          <w:trHeight w:val="591" w:hRule="atLeast"/>
        </w:trPr>
        <w:tc>
          <w:tcPr>
            <w:tcW w:w="571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napToGrid w:val="false"/>
              <w:rPr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  <w:lang w:val="en-GB"/>
              </w:rPr>
              <w:t>9</w:t>
            </w:r>
          </w:p>
        </w:tc>
        <w:tc>
          <w:tcPr>
            <w:tcW w:w="269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76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 xml:space="preserve">Declarație privind dotările specifice, utilajul şi echipamentul necesar </w:t>
            </w:r>
            <w:r>
              <w:rPr>
                <w:bCs/>
                <w:iCs/>
                <w:spacing w:val="-2"/>
                <w:sz w:val="20"/>
                <w:szCs w:val="20"/>
                <w:shd w:fill="auto" w:val="clear"/>
                <w:lang w:eastAsia="en-GB"/>
              </w:rPr>
              <w:t xml:space="preserve">pentru </w:t>
            </w:r>
            <w:r>
              <w:rPr>
                <w:iCs/>
                <w:sz w:val="20"/>
                <w:szCs w:val="20"/>
                <w:shd w:fill="auto" w:val="clear"/>
                <w:lang w:eastAsia="en-GB"/>
              </w:rPr>
              <w:t>îndeplinirea corespunzătoare a contractului (Anexa 14)</w:t>
            </w:r>
          </w:p>
        </w:tc>
        <w:tc>
          <w:tcPr>
            <w:tcW w:w="538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Confirmat prin semnătura electronică a ofertantului.</w:t>
            </w:r>
          </w:p>
          <w:p>
            <w:pPr>
              <w:pStyle w:val="Normal"/>
              <w:tabs>
                <w:tab w:val="clear" w:pos="720"/>
                <w:tab w:val="left" w:pos="612" w:leader="none"/>
              </w:tabs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eastAsia="en-GB"/>
              </w:rPr>
              <w:t>Conform Anexei nr. 14 din documentația standard.</w:t>
            </w:r>
          </w:p>
        </w:tc>
        <w:tc>
          <w:tcPr>
            <w:tcW w:w="12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val="en-US"/>
              </w:rPr>
              <w:t>Obligatoriu</w:t>
            </w:r>
          </w:p>
        </w:tc>
      </w:tr>
      <w:tr>
        <w:trPr>
          <w:trHeight w:val="1203" w:hRule="atLeast"/>
        </w:trPr>
        <w:tc>
          <w:tcPr>
            <w:tcW w:w="571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napToGrid w:val="false"/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  <w:lang w:val="en-GB"/>
              </w:rPr>
              <w:t>10</w:t>
            </w:r>
          </w:p>
        </w:tc>
        <w:tc>
          <w:tcPr>
            <w:tcW w:w="269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eastAsia="en-GB"/>
              </w:rPr>
              <w:t>Declarație privind personalul de specialitate şi/sau a experţilor propus/propuşi pentru implementarea contractului (Anexa 15)</w:t>
            </w:r>
          </w:p>
          <w:p>
            <w:pPr>
              <w:pStyle w:val="Normal"/>
              <w:spacing w:lineRule="auto" w:line="276" w:before="120" w:after="120"/>
              <w:rPr>
                <w:iCs/>
                <w:sz w:val="20"/>
                <w:szCs w:val="20"/>
                <w:highlight w:val="none"/>
                <w:shd w:fill="auto" w:val="clear"/>
                <w:lang w:eastAsia="en-GB"/>
              </w:rPr>
            </w:pPr>
            <w:r>
              <w:rPr>
                <w:iCs/>
                <w:sz w:val="20"/>
                <w:szCs w:val="20"/>
                <w:shd w:fill="auto" w:val="clear"/>
                <w:lang w:eastAsia="en-GB"/>
              </w:rPr>
            </w:r>
          </w:p>
        </w:tc>
        <w:tc>
          <w:tcPr>
            <w:tcW w:w="538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rPr>
                <w:highlight w:val="none"/>
                <w:shd w:fill="auto" w:val="clear"/>
              </w:rPr>
            </w:pPr>
            <w:r>
              <w:rPr>
                <w:b/>
                <w:iCs/>
                <w:sz w:val="20"/>
                <w:szCs w:val="20"/>
                <w:shd w:fill="auto" w:val="clear"/>
              </w:rPr>
              <w:t>Confirmat prin semnătura electronică a ofertantului.</w:t>
            </w:r>
          </w:p>
          <w:p>
            <w:pPr>
              <w:pStyle w:val="Normal"/>
              <w:tabs>
                <w:tab w:val="clear" w:pos="720"/>
                <w:tab w:val="left" w:pos="612" w:leader="none"/>
              </w:tabs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eastAsia="en-GB"/>
              </w:rPr>
              <w:t>Conform Anexei nr. 15 din documentația standard.</w:t>
            </w:r>
          </w:p>
        </w:tc>
        <w:tc>
          <w:tcPr>
            <w:tcW w:w="12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jc w:val="center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val="en-US"/>
              </w:rPr>
              <w:t>Obligatoriu</w:t>
            </w:r>
          </w:p>
        </w:tc>
      </w:tr>
      <w:tr>
        <w:trPr>
          <w:trHeight w:val="1041" w:hRule="atLeast"/>
        </w:trPr>
        <w:tc>
          <w:tcPr>
            <w:tcW w:w="571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napToGrid w:val="false"/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  <w:lang w:val="en-GB"/>
              </w:rPr>
              <w:t>11</w:t>
            </w:r>
          </w:p>
        </w:tc>
        <w:tc>
          <w:tcPr>
            <w:tcW w:w="269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76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eastAsia="en-GB"/>
              </w:rPr>
              <w:t>Lista subcontractanților și partea/părțile din contract care sunt îndeplinite de către aceștia (Anexa 16)</w:t>
            </w:r>
          </w:p>
        </w:tc>
        <w:tc>
          <w:tcPr>
            <w:tcW w:w="538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Confirmat prin semnătura electronică a ofertantului.</w:t>
            </w:r>
          </w:p>
          <w:p>
            <w:pPr>
              <w:pStyle w:val="Normal"/>
              <w:tabs>
                <w:tab w:val="clear" w:pos="720"/>
                <w:tab w:val="left" w:pos="612" w:leader="none"/>
              </w:tabs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eastAsia="en-GB"/>
              </w:rPr>
              <w:t>Conform Anexei nr. 16 din documentația standard.</w:t>
            </w:r>
          </w:p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sz w:val="20"/>
                <w:szCs w:val="20"/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</w:rPr>
            </w:r>
          </w:p>
        </w:tc>
        <w:tc>
          <w:tcPr>
            <w:tcW w:w="12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jc w:val="center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val="en-US"/>
              </w:rPr>
              <w:t xml:space="preserve">Obligatoriu </w:t>
            </w:r>
            <w:r>
              <w:rPr>
                <w:iCs/>
                <w:sz w:val="20"/>
                <w:szCs w:val="20"/>
                <w:shd w:fill="auto" w:val="clear"/>
              </w:rPr>
              <w:t>în cazul subcontractării</w:t>
            </w:r>
          </w:p>
        </w:tc>
      </w:tr>
      <w:tr>
        <w:trPr>
          <w:trHeight w:val="614" w:hRule="atLeast"/>
        </w:trPr>
        <w:tc>
          <w:tcPr>
            <w:tcW w:w="571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napToGrid w:val="false"/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  <w:lang w:val="en-GB"/>
              </w:rPr>
              <w:t>12</w:t>
            </w:r>
          </w:p>
        </w:tc>
        <w:tc>
          <w:tcPr>
            <w:tcW w:w="269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76"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eastAsia="en-GB"/>
              </w:rPr>
              <w:t>Informație privind asocierea (Anexa 17)</w:t>
            </w:r>
          </w:p>
        </w:tc>
        <w:tc>
          <w:tcPr>
            <w:tcW w:w="538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Confirmat prin semnătura electronică a ofertantului.</w:t>
            </w:r>
          </w:p>
          <w:p>
            <w:pPr>
              <w:pStyle w:val="Normal"/>
              <w:tabs>
                <w:tab w:val="clear" w:pos="720"/>
                <w:tab w:val="left" w:pos="612" w:leader="none"/>
              </w:tabs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eastAsia="en-GB"/>
              </w:rPr>
              <w:t>Conform Anexei nr. 17 din documentația standard.</w:t>
            </w:r>
          </w:p>
          <w:p>
            <w:pPr>
              <w:pStyle w:val="Normal"/>
              <w:tabs>
                <w:tab w:val="clear" w:pos="720"/>
                <w:tab w:val="left" w:pos="612" w:leader="none"/>
              </w:tabs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eastAsia="en-GB"/>
              </w:rPr>
              <w:t>Totodată, în cazul asocierii, operatorii vor prezenta și formularele de la Anexele nr. 18-21 din documentația standard.</w:t>
            </w:r>
          </w:p>
        </w:tc>
        <w:tc>
          <w:tcPr>
            <w:tcW w:w="12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jc w:val="center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val="en-US"/>
              </w:rPr>
              <w:t xml:space="preserve">Obligatoriu </w:t>
            </w:r>
            <w:r>
              <w:rPr>
                <w:iCs/>
                <w:sz w:val="20"/>
                <w:szCs w:val="20"/>
                <w:shd w:fill="auto" w:val="clear"/>
              </w:rPr>
              <w:t>în cazul asocierii</w:t>
            </w:r>
          </w:p>
        </w:tc>
      </w:tr>
      <w:tr>
        <w:trPr>
          <w:trHeight w:val="503" w:hRule="atLeast"/>
        </w:trPr>
        <w:tc>
          <w:tcPr>
            <w:tcW w:w="571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napToGrid w:val="false"/>
              <w:rPr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  <w:lang w:val="en-GB"/>
              </w:rPr>
              <w:t>13</w:t>
            </w:r>
          </w:p>
        </w:tc>
        <w:tc>
          <w:tcPr>
            <w:tcW w:w="269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76"/>
              <w:rPr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  <w:lang w:val="en-GB"/>
              </w:rPr>
              <w:t>Aviz pentru participare la licitațiile publice de lucrări din domeniul construcțiilor și instalațiilor.</w:t>
            </w:r>
          </w:p>
        </w:tc>
        <w:tc>
          <w:tcPr>
            <w:tcW w:w="538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Confirmat prin semnătura electronică a ofertantului.</w:t>
            </w:r>
          </w:p>
          <w:p>
            <w:pPr>
              <w:pStyle w:val="Normal"/>
              <w:tabs>
                <w:tab w:val="clear" w:pos="720"/>
                <w:tab w:val="left" w:pos="612" w:leader="none"/>
              </w:tabs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Conform Anexei nr. 22 din documentația standard.</w:t>
            </w:r>
          </w:p>
        </w:tc>
        <w:tc>
          <w:tcPr>
            <w:tcW w:w="12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val="en-US"/>
              </w:rPr>
              <w:t>Obligatoriu</w:t>
            </w:r>
          </w:p>
        </w:tc>
      </w:tr>
      <w:tr>
        <w:trPr>
          <w:trHeight w:val="557" w:hRule="atLeast"/>
        </w:trPr>
        <w:tc>
          <w:tcPr>
            <w:tcW w:w="571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napToGrid w:val="false"/>
              <w:rPr>
                <w:highlight w:val="none"/>
                <w:shd w:fill="auto" w:val="clear"/>
              </w:rPr>
            </w:pPr>
            <w:r>
              <w:rPr>
                <w:sz w:val="20"/>
                <w:szCs w:val="20"/>
                <w:shd w:fill="auto" w:val="clear"/>
                <w:lang w:val="en-GB"/>
              </w:rPr>
              <w:t>14</w:t>
            </w:r>
          </w:p>
        </w:tc>
        <w:tc>
          <w:tcPr>
            <w:tcW w:w="2697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76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Ultimul raport financiar</w:t>
            </w:r>
          </w:p>
        </w:tc>
        <w:tc>
          <w:tcPr>
            <w:tcW w:w="5386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Confirmat prin semnătura electronică a ofertantului.</w:t>
            </w:r>
          </w:p>
          <w:p>
            <w:pPr>
              <w:pStyle w:val="Normal"/>
              <w:tabs>
                <w:tab w:val="clear" w:pos="720"/>
                <w:tab w:val="left" w:pos="612" w:leader="none"/>
              </w:tabs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val="en-US"/>
              </w:rPr>
              <w:t>Lichiditatea general</w:t>
            </w:r>
            <w:r>
              <w:rPr>
                <w:iCs/>
                <w:sz w:val="20"/>
                <w:szCs w:val="20"/>
                <w:shd w:fill="auto" w:val="clear"/>
              </w:rPr>
              <w:t xml:space="preserve">ă </w:t>
            </w:r>
            <w:r>
              <w:rPr>
                <w:iCs/>
                <w:sz w:val="20"/>
                <w:szCs w:val="20"/>
                <w:shd w:fill="auto" w:val="clear"/>
                <w:lang w:val="en-US"/>
              </w:rPr>
              <w:t>(active circulante/ datorii curente)</w:t>
            </w:r>
            <w:r>
              <w:rPr>
                <w:iCs/>
                <w:sz w:val="20"/>
                <w:szCs w:val="20"/>
                <w:shd w:fill="auto" w:val="clear"/>
              </w:rPr>
              <w:t xml:space="preserve"> </w:t>
            </w:r>
            <w:r>
              <w:rPr>
                <w:iCs/>
                <w:sz w:val="20"/>
                <w:szCs w:val="20"/>
                <w:shd w:fill="auto" w:val="clear"/>
                <w:lang w:val="en-US"/>
              </w:rPr>
              <w:t>&gt; 100 %</w:t>
            </w:r>
          </w:p>
        </w:tc>
        <w:tc>
          <w:tcPr>
            <w:tcW w:w="12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  <w:lang w:val="en-US"/>
              </w:rPr>
              <w:t>Obligatoriu</w:t>
            </w:r>
          </w:p>
        </w:tc>
      </w:tr>
      <w:tr>
        <w:trPr>
          <w:trHeight w:val="437" w:hRule="atLeast"/>
        </w:trPr>
        <w:tc>
          <w:tcPr>
            <w:tcW w:w="5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napToGrid w:val="false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15</w:t>
            </w:r>
          </w:p>
        </w:tc>
        <w:tc>
          <w:tcPr>
            <w:tcW w:w="26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Dovada de resurse financiare: cel puțin 100% din valoarea ofertei cu TVA, disponibili în contul bancar al întreprinderii sau prin linia de creditare cu bani disponibili la zi, confirmate prin documente bancare.</w:t>
            </w:r>
          </w:p>
        </w:tc>
        <w:tc>
          <w:tcPr>
            <w:tcW w:w="538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Extras bancar, confirmarea soldului disponibil din linia de creditare, semnat și ștampilat de către bancă și ofertant.</w:t>
            </w:r>
          </w:p>
        </w:tc>
        <w:tc>
          <w:tcPr>
            <w:tcW w:w="12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jc w:val="center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Obligatoriu</w:t>
            </w:r>
          </w:p>
        </w:tc>
      </w:tr>
      <w:tr>
        <w:trPr>
          <w:trHeight w:val="2285" w:hRule="atLeast"/>
        </w:trPr>
        <w:tc>
          <w:tcPr>
            <w:tcW w:w="5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napToGrid w:val="false"/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16</w:t>
            </w:r>
          </w:p>
        </w:tc>
        <w:tc>
          <w:tcPr>
            <w:tcW w:w="26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8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0" w:after="120"/>
              <w:jc w:val="both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Conform Ordinului Ministrului Finanțelor nr. 145 din 24.11.2020.</w:t>
            </w:r>
          </w:p>
          <w:p>
            <w:pPr>
              <w:pStyle w:val="Normal"/>
              <w:tabs>
                <w:tab w:val="clear" w:pos="720"/>
                <w:tab w:val="left" w:pos="612" w:leader="none"/>
              </w:tabs>
              <w:spacing w:before="0" w:after="120"/>
              <w:jc w:val="both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În termen de 5 zile de la data comunicării rezultatelor procedurii de achiziție publică, ofertantul/ofertantul asociat desemnat câștigător va prezenta Declarația autorității contractante și Agenției Achiziții Publice.</w:t>
            </w:r>
          </w:p>
        </w:tc>
        <w:tc>
          <w:tcPr>
            <w:tcW w:w="12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612" w:leader="none"/>
              </w:tabs>
              <w:spacing w:before="120" w:after="120"/>
              <w:jc w:val="center"/>
              <w:rPr>
                <w:highlight w:val="none"/>
                <w:shd w:fill="auto" w:val="clear"/>
              </w:rPr>
            </w:pPr>
            <w:r>
              <w:rPr>
                <w:iCs/>
                <w:sz w:val="20"/>
                <w:szCs w:val="20"/>
                <w:shd w:fill="auto" w:val="clear"/>
              </w:rPr>
              <w:t>Obligatoriu pentru câștigătorii procedurii</w:t>
            </w:r>
          </w:p>
        </w:tc>
      </w:tr>
    </w:tbl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360" w:start="36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Garanția pentru ofertă, după caz </w:t>
      </w:r>
      <w:r>
        <w:rPr>
          <w:b/>
          <w:shd w:fill="auto" w:val="clear"/>
          <w:lang w:eastAsia="ru-RU"/>
        </w:rPr>
        <w:t>garanție bancară sau transfer bancar</w:t>
      </w:r>
      <w:r>
        <w:rPr>
          <w:shd w:fill="auto" w:val="clear"/>
        </w:rPr>
        <w:t xml:space="preserve">, </w:t>
      </w:r>
      <w:r>
        <w:rPr>
          <w:b/>
          <w:shd w:fill="auto" w:val="clear"/>
          <w:lang w:eastAsia="ru-RU"/>
        </w:rPr>
        <w:t xml:space="preserve">cuantumul </w:t>
      </w:r>
      <w:r>
        <w:rPr>
          <w:b/>
          <w:shd w:fill="auto" w:val="clear"/>
          <w:lang w:eastAsia="ru-RU"/>
        </w:rPr>
        <w:t>1%</w:t>
      </w:r>
      <w:r>
        <w:rPr>
          <w:b/>
          <w:shd w:fill="auto" w:val="clear"/>
          <w:lang w:eastAsia="ru-RU"/>
        </w:rPr>
        <w:t>.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360" w:start="36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Termenul de garanție a lucrărilor sau serviciilor de proiectare și de lucrări </w:t>
      </w:r>
      <w:r>
        <w:rPr>
          <w:b/>
          <w:shd w:fill="auto" w:val="clear"/>
          <w:lang w:eastAsia="ru-RU"/>
        </w:rPr>
        <w:t>min. 5 an</w:t>
      </w:r>
      <w:r>
        <w:rPr>
          <w:b/>
          <w:shd w:fill="auto" w:val="clear"/>
          <w:lang w:eastAsia="ru-RU"/>
        </w:rPr>
        <w:t>i.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360" w:start="36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Garanția de bună execuție a contractului, </w:t>
      </w:r>
      <w:r>
        <w:rPr>
          <w:b/>
          <w:shd w:fill="auto" w:val="clear"/>
          <w:lang w:eastAsia="ru-RU"/>
        </w:rPr>
        <w:t>garanție bancară</w:t>
      </w:r>
      <w:r>
        <w:rPr>
          <w:b/>
          <w:shd w:fill="auto" w:val="clear"/>
        </w:rPr>
        <w:t xml:space="preserve"> sau transfer pe contul autorității contractante</w:t>
      </w:r>
      <w:r>
        <w:rPr>
          <w:b/>
          <w:shd w:fill="auto" w:val="clear"/>
          <w:lang w:eastAsia="ru-RU"/>
        </w:rPr>
        <w:t xml:space="preserve">, cuantumul </w:t>
      </w:r>
      <w:r>
        <w:rPr>
          <w:b/>
          <w:shd w:fill="auto" w:val="clear"/>
          <w:lang w:eastAsia="ru-RU"/>
        </w:rPr>
        <w:t>0%.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360" w:start="36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>Motivul recurgerii la procedura accelerată (în cazul licitației deschise, restrânse și a procedurii negociate), după caz:</w:t>
      </w:r>
      <w:r>
        <w:rPr>
          <w:b/>
          <w:shd w:fill="auto" w:val="clear"/>
          <w:lang w:val="en-US"/>
        </w:rPr>
        <w:t xml:space="preserve"> nu se aplică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360" w:start="36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b/>
          <w:shd w:fill="auto" w:val="clear"/>
          <w:lang w:val="en-US"/>
        </w:rPr>
        <w:t xml:space="preserve"> nu se aplică</w:t>
      </w:r>
    </w:p>
    <w:p>
      <w:pPr>
        <w:pStyle w:val="Normal"/>
        <w:numPr>
          <w:ilvl w:val="0"/>
          <w:numId w:val="2"/>
        </w:numPr>
        <w:tabs>
          <w:tab w:val="clear" w:pos="720"/>
          <w:tab w:val="right" w:pos="426" w:leader="none"/>
        </w:tabs>
        <w:spacing w:before="120" w:after="0"/>
        <w:ind w:hanging="0" w:start="0"/>
        <w:jc w:val="both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>Condiții speciale de care depinde îndeplinirea contractului (</w:t>
      </w:r>
      <w:r>
        <w:rPr>
          <w:shd w:fill="auto" w:val="clear"/>
          <w:lang w:eastAsia="ru-RU"/>
        </w:rPr>
        <w:t>indicați după caz</w:t>
      </w:r>
      <w:r>
        <w:rPr>
          <w:b/>
          <w:shd w:fill="auto" w:val="clear"/>
          <w:lang w:eastAsia="ru-RU"/>
        </w:rPr>
        <w:t xml:space="preserve">):  </w:t>
      </w:r>
    </w:p>
    <w:p>
      <w:pPr>
        <w:pStyle w:val="Normal"/>
        <w:numPr>
          <w:ilvl w:val="0"/>
          <w:numId w:val="2"/>
        </w:numPr>
        <w:tabs>
          <w:tab w:val="clear" w:pos="720"/>
          <w:tab w:val="right" w:pos="426" w:leader="none"/>
        </w:tabs>
        <w:spacing w:before="120" w:after="0"/>
        <w:ind w:hanging="0" w:start="0"/>
        <w:rPr>
          <w:highlight w:val="none"/>
          <w:shd w:fill="auto" w:val="clear"/>
        </w:rPr>
      </w:pPr>
      <w:bookmarkStart w:id="1" w:name="_Hlk71621175"/>
      <w:r>
        <w:rPr>
          <w:b/>
          <w:shd w:fill="auto" w:val="clear"/>
          <w:lang w:eastAsia="ru-RU"/>
        </w:rPr>
        <w:t xml:space="preserve">Ofertele se prezintă în valuta </w:t>
      </w:r>
      <w:bookmarkEnd w:id="1"/>
      <w:r>
        <w:rPr>
          <w:b/>
          <w:shd w:fill="auto" w:val="clear"/>
          <w:lang w:eastAsia="ru-RU"/>
        </w:rPr>
        <w:t>lei MD</w:t>
      </w:r>
      <w:r>
        <w:rPr>
          <w:b/>
          <w:shd w:fill="auto" w:val="clear"/>
          <w:lang w:eastAsia="ru-RU"/>
        </w:rPr>
        <w:t>.</w:t>
      </w:r>
    </w:p>
    <w:p>
      <w:pPr>
        <w:pStyle w:val="Normal"/>
        <w:numPr>
          <w:ilvl w:val="0"/>
          <w:numId w:val="2"/>
        </w:numPr>
        <w:tabs>
          <w:tab w:val="clear" w:pos="720"/>
          <w:tab w:val="right" w:pos="426" w:leader="none"/>
        </w:tabs>
        <w:spacing w:before="120" w:after="0"/>
        <w:ind w:hanging="0" w:start="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Criteriul de evaluare aplicat pentru atribuirea contractului: </w:t>
      </w:r>
      <w:r>
        <w:rPr>
          <w:b/>
          <w:shd w:fill="auto" w:val="clear"/>
          <w:lang w:eastAsia="ru-RU"/>
        </w:rPr>
        <w:t>cel mai mic preț fără TVA.</w:t>
      </w:r>
    </w:p>
    <w:p>
      <w:pPr>
        <w:pStyle w:val="Normal"/>
        <w:numPr>
          <w:ilvl w:val="0"/>
          <w:numId w:val="2"/>
        </w:numPr>
        <w:tabs>
          <w:tab w:val="clear" w:pos="720"/>
          <w:tab w:val="right" w:pos="426" w:leader="none"/>
        </w:tabs>
        <w:spacing w:before="120" w:after="0"/>
        <w:ind w:hanging="0" w:start="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48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1126"/>
        <w:gridCol w:w="6569"/>
        <w:gridCol w:w="1791"/>
      </w:tblGrid>
      <w:tr>
        <w:trPr>
          <w:trHeight w:val="289" w:hRule="atLeast"/>
        </w:trPr>
        <w:tc>
          <w:tcPr>
            <w:tcW w:w="1126" w:type="dxa"/>
            <w:tcBorders/>
            <w:shd w:color="auto" w:fill="auto" w:val="clea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612" w:leader="none"/>
              </w:tabs>
              <w:suppressAutoHyphens w:val="true"/>
              <w:spacing w:before="120" w:after="120"/>
              <w:jc w:val="start"/>
              <w:rPr>
                <w:kern w:val="0"/>
                <w:highlight w:val="none"/>
                <w:shd w:fill="auto" w:val="clear"/>
                <w:lang w:eastAsia="zh-CN" w:bidi="ar-SA"/>
              </w:rPr>
            </w:pPr>
            <w:r>
              <w:rPr>
                <w:b/>
                <w:iCs/>
                <w:kern w:val="0"/>
                <w:sz w:val="20"/>
                <w:szCs w:val="20"/>
                <w:shd w:fill="auto" w:val="clear"/>
                <w:lang w:eastAsia="ru-RU" w:bidi="ar-SA"/>
              </w:rPr>
              <w:t>Nr. d/o</w:t>
            </w:r>
          </w:p>
        </w:tc>
        <w:tc>
          <w:tcPr>
            <w:tcW w:w="6569" w:type="dxa"/>
            <w:tcBorders/>
            <w:shd w:color="auto" w:fill="auto" w:val="clea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612" w:leader="none"/>
              </w:tabs>
              <w:suppressAutoHyphens w:val="true"/>
              <w:spacing w:before="120" w:after="120"/>
              <w:jc w:val="center"/>
              <w:rPr>
                <w:kern w:val="0"/>
                <w:highlight w:val="none"/>
                <w:shd w:fill="auto" w:val="clear"/>
                <w:lang w:eastAsia="zh-CN" w:bidi="ar-SA"/>
              </w:rPr>
            </w:pPr>
            <w:r>
              <w:rPr>
                <w:b/>
                <w:iCs/>
                <w:kern w:val="0"/>
                <w:sz w:val="20"/>
                <w:szCs w:val="20"/>
                <w:shd w:fill="auto" w:val="clear"/>
                <w:lang w:eastAsia="ru-RU" w:bidi="ar-SA"/>
              </w:rPr>
              <w:t>Denumirea factorului de evaluare</w:t>
            </w:r>
          </w:p>
        </w:tc>
        <w:tc>
          <w:tcPr>
            <w:tcW w:w="1791" w:type="dxa"/>
            <w:tcBorders/>
            <w:shd w:color="auto" w:fill="auto" w:val="clea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612" w:leader="none"/>
              </w:tabs>
              <w:suppressAutoHyphens w:val="true"/>
              <w:spacing w:before="120" w:after="120"/>
              <w:jc w:val="center"/>
              <w:rPr>
                <w:kern w:val="0"/>
                <w:highlight w:val="none"/>
                <w:shd w:fill="auto" w:val="clear"/>
                <w:lang w:eastAsia="zh-CN" w:bidi="ar-SA"/>
              </w:rPr>
            </w:pPr>
            <w:r>
              <w:rPr>
                <w:b/>
                <w:iCs/>
                <w:kern w:val="0"/>
                <w:sz w:val="20"/>
                <w:szCs w:val="20"/>
                <w:shd w:fill="auto" w:val="clear"/>
                <w:lang w:eastAsia="ru-RU" w:bidi="ar-SA"/>
              </w:rPr>
              <w:t>Ponderea%</w:t>
            </w:r>
          </w:p>
        </w:tc>
      </w:tr>
      <w:tr>
        <w:trPr>
          <w:trHeight w:val="97" w:hRule="atLeast"/>
        </w:trPr>
        <w:tc>
          <w:tcPr>
            <w:tcW w:w="1126" w:type="dxa"/>
            <w:tcBorders/>
            <w:shd w:color="auto" w:fill="auto" w:val="clea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612" w:leader="none"/>
              </w:tabs>
              <w:suppressAutoHyphens w:val="true"/>
              <w:spacing w:before="0" w:after="0"/>
              <w:jc w:val="start"/>
              <w:rPr>
                <w:iCs/>
                <w:kern w:val="0"/>
                <w:highlight w:val="none"/>
                <w:shd w:fill="auto" w:val="clear"/>
                <w:lang w:eastAsia="ru-RU" w:bidi="ar-SA"/>
              </w:rPr>
            </w:pPr>
            <w:r>
              <w:rPr>
                <w:iCs/>
                <w:kern w:val="0"/>
                <w:shd w:fill="auto" w:val="clear"/>
                <w:lang w:eastAsia="ru-RU" w:bidi="ar-SA"/>
              </w:rPr>
            </w:r>
          </w:p>
        </w:tc>
        <w:tc>
          <w:tcPr>
            <w:tcW w:w="6569" w:type="dxa"/>
            <w:tcBorders/>
            <w:shd w:color="auto" w:fill="auto" w:val="clea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612" w:leader="none"/>
              </w:tabs>
              <w:suppressAutoHyphens w:val="true"/>
              <w:spacing w:before="0" w:after="0"/>
              <w:jc w:val="center"/>
              <w:rPr>
                <w:kern w:val="0"/>
                <w:highlight w:val="none"/>
                <w:shd w:fill="auto" w:val="clear"/>
                <w:lang w:eastAsia="zh-CN" w:bidi="ar-SA"/>
              </w:rPr>
            </w:pPr>
            <w:r>
              <w:rPr>
                <w:iCs/>
                <w:kern w:val="0"/>
                <w:shd w:fill="auto" w:val="clear"/>
                <w:lang w:eastAsia="ru-RU" w:bidi="ar-SA"/>
              </w:rPr>
              <w:t>NU SE APLICĂ</w:t>
            </w:r>
          </w:p>
        </w:tc>
        <w:tc>
          <w:tcPr>
            <w:tcW w:w="1791" w:type="dxa"/>
            <w:tcBorders/>
            <w:shd w:color="auto" w:fill="auto" w:val="clea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left" w:pos="612" w:leader="none"/>
              </w:tabs>
              <w:suppressAutoHyphens w:val="true"/>
              <w:spacing w:before="0" w:after="0"/>
              <w:jc w:val="start"/>
              <w:rPr>
                <w:iCs/>
                <w:kern w:val="0"/>
                <w:highlight w:val="none"/>
                <w:shd w:fill="auto" w:val="clear"/>
                <w:lang w:eastAsia="ru-RU" w:bidi="ar-SA"/>
              </w:rPr>
            </w:pPr>
            <w:r>
              <w:rPr>
                <w:iCs/>
                <w:kern w:val="0"/>
                <w:shd w:fill="auto" w:val="clear"/>
                <w:lang w:eastAsia="ru-RU" w:bidi="ar-SA"/>
              </w:rPr>
            </w:r>
          </w:p>
        </w:tc>
      </w:tr>
    </w:tbl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0" w:start="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>Termenul limită de depunere/deschidere a ofertelor:</w:t>
      </w:r>
    </w:p>
    <w:p>
      <w:pPr>
        <w:pStyle w:val="Normal"/>
        <w:numPr>
          <w:ilvl w:val="0"/>
          <w:numId w:val="4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conform SIA RSAP /până la: </w:t>
      </w:r>
      <w:r>
        <w:rPr>
          <w:b/>
          <w:sz w:val="25"/>
          <w:szCs w:val="25"/>
          <w:shd w:fill="auto" w:val="clear"/>
        </w:rPr>
        <w:t xml:space="preserve"> Informația o găsiți în SIA RSAP</w:t>
      </w:r>
      <w:r>
        <w:rPr>
          <w:b/>
          <w:shd w:fill="auto" w:val="clear"/>
          <w:lang w:eastAsia="ru-RU"/>
        </w:rPr>
        <w:t xml:space="preserve"> </w:t>
      </w:r>
    </w:p>
    <w:p>
      <w:pPr>
        <w:pStyle w:val="Normal"/>
        <w:numPr>
          <w:ilvl w:val="0"/>
          <w:numId w:val="4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pe: </w:t>
      </w:r>
      <w:r>
        <w:rPr>
          <w:b/>
          <w:i/>
          <w:shd w:fill="auto" w:val="clear"/>
          <w:lang w:eastAsia="ru-RU"/>
        </w:rPr>
        <w:t>[data]</w:t>
      </w:r>
      <w:r>
        <w:rPr>
          <w:b/>
          <w:sz w:val="25"/>
          <w:szCs w:val="25"/>
          <w:shd w:fill="auto" w:val="clear"/>
        </w:rPr>
        <w:t xml:space="preserve"> Informația o găsiți în SIA RSAP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0" w:start="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Adresa la care trebuie transmise ofertele sau cererile de participare: </w:t>
      </w:r>
    </w:p>
    <w:p>
      <w:pPr>
        <w:pStyle w:val="Normal"/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start="450"/>
        <w:rPr>
          <w:highlight w:val="none"/>
          <w:shd w:fill="auto" w:val="clear"/>
        </w:rPr>
      </w:pPr>
      <w:r>
        <w:rPr>
          <w:b/>
          <w:i/>
          <w:shd w:fill="auto" w:val="clear"/>
          <w:lang w:eastAsia="ru-RU"/>
        </w:rPr>
        <w:t>Ofertele sau cererile de participare vor fi depuse electronic prin intermediul SIA RSAP</w:t>
      </w:r>
    </w:p>
    <w:p>
      <w:pPr>
        <w:pStyle w:val="Normal"/>
        <w:numPr>
          <w:ilvl w:val="0"/>
          <w:numId w:val="2"/>
        </w:numPr>
        <w:tabs>
          <w:tab w:val="clear" w:pos="720"/>
          <w:tab w:val="right" w:pos="426" w:leader="none"/>
        </w:tabs>
        <w:spacing w:before="120" w:after="0"/>
        <w:ind w:hanging="0" w:start="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Termenul de valabilitate a ofertelor: </w:t>
      </w:r>
      <w:r>
        <w:rPr>
          <w:b/>
          <w:sz w:val="25"/>
          <w:szCs w:val="25"/>
          <w:shd w:fill="auto" w:val="clear"/>
        </w:rPr>
        <w:t>20</w:t>
      </w:r>
      <w:r>
        <w:rPr>
          <w:b/>
          <w:sz w:val="25"/>
          <w:szCs w:val="25"/>
          <w:shd w:fill="auto" w:val="clear"/>
          <w:lang w:val="en-US"/>
        </w:rPr>
        <w:t xml:space="preserve"> zile</w:t>
      </w:r>
    </w:p>
    <w:p>
      <w:pPr>
        <w:pStyle w:val="Normal"/>
        <w:numPr>
          <w:ilvl w:val="0"/>
          <w:numId w:val="2"/>
        </w:numPr>
        <w:tabs>
          <w:tab w:val="clear" w:pos="720"/>
          <w:tab w:val="right" w:pos="426" w:leader="none"/>
        </w:tabs>
        <w:spacing w:before="120" w:after="0"/>
        <w:ind w:hanging="0" w:start="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Locul deschiderii ofertelor: </w:t>
      </w:r>
      <w:r>
        <w:rPr>
          <w:b/>
          <w:sz w:val="25"/>
          <w:szCs w:val="25"/>
          <w:shd w:fill="auto" w:val="clear"/>
        </w:rPr>
        <w:t>SIA RSAP</w:t>
      </w:r>
    </w:p>
    <w:p>
      <w:pPr>
        <w:pStyle w:val="Normal"/>
        <w:shd w:val="clear" w:color="auto" w:fill="FFFFFF" w:themeFill="background1"/>
        <w:tabs>
          <w:tab w:val="clear" w:pos="720"/>
          <w:tab w:val="left" w:pos="360" w:leader="none"/>
          <w:tab w:val="left" w:pos="1800" w:leader="none"/>
          <w:tab w:val="left" w:pos="3240" w:leader="none"/>
        </w:tabs>
        <w:spacing w:before="0" w:after="120"/>
        <w:ind w:start="360"/>
        <w:rPr>
          <w:highlight w:val="none"/>
          <w:shd w:fill="auto" w:val="clear"/>
        </w:rPr>
      </w:pPr>
      <w:r>
        <w:rPr>
          <w:b/>
          <w:i/>
          <w:shd w:fill="auto" w:val="clear"/>
          <w:lang w:eastAsia="ru-RU"/>
        </w:rPr>
        <w:t xml:space="preserve">Ofertele întârziate vor fi respinse. 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450" w:start="45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Persoanele autorizate să asiste la deschiderea ofertelor: </w:t>
        <w:br/>
      </w:r>
      <w:r>
        <w:rPr>
          <w:b/>
          <w:i/>
          <w:shd w:fill="auto" w:val="clear"/>
          <w:lang w:eastAsia="ru-RU"/>
        </w:rPr>
        <w:t>Ofertanții sau reprezentanții acestora au dreptul să participe la deschiderea ofertelor, cu excepția cazului când ofertele au fost depuse prin SIA RSAP</w:t>
      </w:r>
      <w:r>
        <w:rPr>
          <w:b/>
          <w:shd w:fill="auto" w:val="clear"/>
          <w:lang w:eastAsia="ru-RU"/>
        </w:rPr>
        <w:t>.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450" w:start="45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Limba sau limbile în care trebuie redactate ofertele sau cererile de participare: </w:t>
      </w:r>
      <w:r>
        <w:rPr>
          <w:b/>
          <w:sz w:val="25"/>
          <w:szCs w:val="25"/>
          <w:shd w:fill="auto" w:val="clear"/>
          <w:lang w:val="en-US"/>
        </w:rPr>
        <w:t>Limba română</w:t>
      </w:r>
      <w:r>
        <w:rPr>
          <w:b/>
          <w:sz w:val="25"/>
          <w:szCs w:val="25"/>
          <w:shd w:fill="auto" w:val="clear"/>
          <w:lang w:val="en-US"/>
        </w:rPr>
        <w:t xml:space="preserve"> 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360" w:start="36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Respectivul contract se referă la un proiect și/sau program finanțat din fonduri ale Uniunii Europene: </w:t>
      </w:r>
      <w:r>
        <w:rPr>
          <w:b/>
          <w:sz w:val="25"/>
          <w:szCs w:val="25"/>
          <w:shd w:fill="auto" w:val="clear"/>
          <w:lang w:val="en-US"/>
        </w:rPr>
        <w:t>nu se aplică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0" w:start="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Denumirea și adresa organismului competent de soluționare a contestațiilor: </w:t>
      </w:r>
    </w:p>
    <w:p>
      <w:pPr>
        <w:pStyle w:val="Normal"/>
        <w:shd w:val="clear" w:color="auto" w:fill="FFFFFF" w:themeFill="background1"/>
        <w:tabs>
          <w:tab w:val="clear" w:pos="720"/>
          <w:tab w:val="right" w:pos="426" w:leader="none"/>
        </w:tabs>
        <w:ind w:start="450"/>
        <w:rPr>
          <w:highlight w:val="none"/>
          <w:shd w:fill="auto" w:val="clear"/>
        </w:rPr>
      </w:pPr>
      <w:r>
        <w:rPr>
          <w:b/>
          <w:i/>
          <w:shd w:fill="auto" w:val="clear"/>
          <w:lang w:eastAsia="ru-RU"/>
        </w:rPr>
        <w:t>Agenția Națională pentru Soluționarea Contestațiilor</w:t>
      </w:r>
    </w:p>
    <w:p>
      <w:pPr>
        <w:pStyle w:val="Normal"/>
        <w:shd w:val="clear" w:color="auto" w:fill="FFFFFF" w:themeFill="background1"/>
        <w:tabs>
          <w:tab w:val="clear" w:pos="720"/>
          <w:tab w:val="right" w:pos="426" w:leader="none"/>
        </w:tabs>
        <w:ind w:start="450"/>
        <w:rPr>
          <w:highlight w:val="none"/>
          <w:shd w:fill="auto" w:val="clear"/>
        </w:rPr>
      </w:pPr>
      <w:r>
        <w:rPr>
          <w:b/>
          <w:i/>
          <w:shd w:fill="auto" w:val="clear"/>
          <w:lang w:eastAsia="ru-RU"/>
        </w:rPr>
        <w:t>Adresa: mun. Chișinău, bd. Ștefan cel Mare și Sfânt nr.124 (et.4), MD 2001;</w:t>
      </w:r>
    </w:p>
    <w:p>
      <w:pPr>
        <w:pStyle w:val="Normal"/>
        <w:shd w:val="clear" w:color="auto" w:fill="FFFFFF" w:themeFill="background1"/>
        <w:tabs>
          <w:tab w:val="clear" w:pos="720"/>
          <w:tab w:val="right" w:pos="426" w:leader="none"/>
        </w:tabs>
        <w:ind w:start="450"/>
        <w:rPr>
          <w:highlight w:val="none"/>
          <w:shd w:fill="auto" w:val="clear"/>
        </w:rPr>
      </w:pPr>
      <w:r>
        <w:rPr>
          <w:b/>
          <w:i/>
          <w:shd w:fill="auto" w:val="clear"/>
          <w:lang w:eastAsia="ru-RU"/>
        </w:rPr>
        <w:t>Tel/Fax/email: 022-820 652, 022 820-651, contestatii@ansc.md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360" w:start="36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>
        <w:rPr>
          <w:b/>
          <w:sz w:val="25"/>
          <w:szCs w:val="25"/>
          <w:shd w:fill="auto" w:val="clear"/>
          <w:lang w:val="en-US"/>
        </w:rPr>
        <w:t xml:space="preserve"> nu se aplică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360" w:start="36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>În cazul achizițiilor periodice, calendarul estimat pentru publicarea anunțurilor viitoare</w:t>
      </w:r>
      <w:r>
        <w:rPr>
          <w:b/>
          <w:shd w:fill="auto" w:val="clear"/>
          <w:lang w:eastAsia="ru-RU"/>
        </w:rPr>
        <w:t>:</w:t>
      </w:r>
      <w:r>
        <w:rPr>
          <w:b/>
          <w:sz w:val="25"/>
          <w:szCs w:val="25"/>
          <w:shd w:fill="auto" w:val="clear"/>
          <w:lang w:val="en-US"/>
        </w:rPr>
        <w:t xml:space="preserve"> nu se aplică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360" w:start="36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Data publicării anunțului de intenție sau, după caz, precizarea că nu a fost publicat un astfel de </w:t>
      </w:r>
      <w:r>
        <w:rPr>
          <w:b/>
          <w:shd w:fill="auto" w:val="clear"/>
          <w:lang w:eastAsia="ru-RU"/>
        </w:rPr>
        <w:t>anunţ:</w:t>
      </w:r>
      <w:r>
        <w:rPr>
          <w:b/>
          <w:sz w:val="25"/>
          <w:szCs w:val="25"/>
          <w:shd w:fill="auto" w:val="clear"/>
          <w:lang w:val="en-US"/>
        </w:rPr>
        <w:t xml:space="preserve"> nu a fost publicat un anunț de intenție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0" w:start="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>Data transmiterii spre publicare a anunțului de participar</w:t>
      </w:r>
      <w:r>
        <w:rPr>
          <w:b/>
          <w:shd w:fill="auto" w:val="clear"/>
          <w:lang w:eastAsia="ru-RU"/>
        </w:rPr>
        <w:t>e:</w:t>
      </w:r>
      <w:r>
        <w:rPr>
          <w:b/>
          <w:sz w:val="25"/>
          <w:szCs w:val="25"/>
          <w:shd w:fill="auto" w:val="clear"/>
        </w:rPr>
        <w:t xml:space="preserve"> Conform SIARSAP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0" w:start="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>În cadrul procedurii de achiziție publică se va utiliza/accepta:</w:t>
      </w:r>
    </w:p>
    <w:tbl>
      <w:tblPr>
        <w:tblStyle w:val="Grigliatabella2"/>
        <w:tblW w:w="9041" w:type="dxa"/>
        <w:jc w:val="start"/>
        <w:tblInd w:w="44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71"/>
        <w:gridCol w:w="3770"/>
      </w:tblGrid>
      <w:tr>
        <w:trPr/>
        <w:tc>
          <w:tcPr>
            <w:tcW w:w="5271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right" w:pos="426" w:leader="none"/>
              </w:tabs>
              <w:suppressAutoHyphens w:val="true"/>
              <w:spacing w:before="0" w:after="0"/>
              <w:jc w:val="start"/>
              <w:rPr>
                <w:kern w:val="0"/>
                <w:highlight w:val="none"/>
                <w:shd w:fill="auto" w:val="clear"/>
                <w:lang w:eastAsia="zh-CN" w:bidi="ar-SA"/>
              </w:rPr>
            </w:pPr>
            <w:r>
              <w:rPr>
                <w:b/>
                <w:kern w:val="0"/>
                <w:shd w:fill="auto" w:val="clear"/>
                <w:lang w:eastAsia="ru-RU" w:bidi="ar-SA"/>
              </w:rPr>
              <w:t>Denumirea instrumentului electronic</w:t>
            </w:r>
          </w:p>
        </w:tc>
        <w:tc>
          <w:tcPr>
            <w:tcW w:w="3770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right" w:pos="426" w:leader="none"/>
              </w:tabs>
              <w:suppressAutoHyphens w:val="true"/>
              <w:spacing w:before="0" w:after="0"/>
              <w:jc w:val="start"/>
              <w:rPr>
                <w:kern w:val="0"/>
                <w:highlight w:val="none"/>
                <w:shd w:fill="auto" w:val="clear"/>
                <w:lang w:eastAsia="zh-CN" w:bidi="ar-SA"/>
              </w:rPr>
            </w:pPr>
            <w:r>
              <w:rPr>
                <w:b/>
                <w:kern w:val="0"/>
                <w:shd w:fill="auto" w:val="clear"/>
                <w:lang w:eastAsia="ru-RU" w:bidi="ar-SA"/>
              </w:rPr>
              <w:t>Se va utiliza/accepta sau nu</w:t>
            </w:r>
          </w:p>
        </w:tc>
      </w:tr>
      <w:tr>
        <w:trPr/>
        <w:tc>
          <w:tcPr>
            <w:tcW w:w="5271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right" w:pos="426" w:leader="none"/>
              </w:tabs>
              <w:suppressAutoHyphens w:val="true"/>
              <w:spacing w:before="0" w:after="0"/>
              <w:jc w:val="start"/>
              <w:rPr>
                <w:kern w:val="0"/>
                <w:highlight w:val="none"/>
                <w:shd w:fill="auto" w:val="clear"/>
                <w:lang w:eastAsia="zh-CN" w:bidi="ar-SA"/>
              </w:rPr>
            </w:pPr>
            <w:r>
              <w:rPr>
                <w:kern w:val="0"/>
                <w:shd w:fill="auto" w:val="clear"/>
                <w:lang w:eastAsia="ru-RU" w:bidi="ar-SA"/>
              </w:rPr>
              <w:t>depunerea electronică a ofertelor sau a cererilor de participare</w:t>
            </w:r>
          </w:p>
        </w:tc>
        <w:tc>
          <w:tcPr>
            <w:tcW w:w="3770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right" w:pos="426" w:leader="none"/>
              </w:tabs>
              <w:suppressAutoHyphens w:val="true"/>
              <w:spacing w:before="0" w:after="0"/>
              <w:jc w:val="start"/>
              <w:rPr>
                <w:kern w:val="0"/>
                <w:highlight w:val="none"/>
                <w:shd w:fill="auto" w:val="clear"/>
                <w:lang w:eastAsia="zh-CN" w:bidi="ar-SA"/>
              </w:rPr>
            </w:pPr>
            <w:r>
              <w:rPr>
                <w:kern w:val="0"/>
                <w:sz w:val="25"/>
                <w:szCs w:val="25"/>
                <w:shd w:fill="auto" w:val="clear"/>
                <w:lang w:val="en-US" w:eastAsia="zh-CN" w:bidi="ar-SA"/>
              </w:rPr>
              <w:t>Se acceptă</w:t>
            </w:r>
          </w:p>
        </w:tc>
      </w:tr>
      <w:tr>
        <w:trPr/>
        <w:tc>
          <w:tcPr>
            <w:tcW w:w="5271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right" w:pos="426" w:leader="none"/>
              </w:tabs>
              <w:suppressAutoHyphens w:val="true"/>
              <w:spacing w:before="0" w:after="0"/>
              <w:jc w:val="start"/>
              <w:rPr>
                <w:kern w:val="0"/>
                <w:highlight w:val="none"/>
                <w:shd w:fill="auto" w:val="clear"/>
                <w:lang w:eastAsia="zh-CN" w:bidi="ar-SA"/>
              </w:rPr>
            </w:pPr>
            <w:r>
              <w:rPr>
                <w:kern w:val="0"/>
                <w:shd w:fill="auto" w:val="clear"/>
                <w:lang w:eastAsia="ru-RU" w:bidi="ar-SA"/>
              </w:rPr>
              <w:t>sistemul de comenzi electronice</w:t>
            </w:r>
          </w:p>
        </w:tc>
        <w:tc>
          <w:tcPr>
            <w:tcW w:w="3770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right" w:pos="426" w:leader="none"/>
              </w:tabs>
              <w:suppressAutoHyphens w:val="true"/>
              <w:spacing w:before="0" w:after="0"/>
              <w:jc w:val="start"/>
              <w:rPr>
                <w:kern w:val="0"/>
                <w:highlight w:val="none"/>
                <w:shd w:fill="auto" w:val="clear"/>
                <w:lang w:eastAsia="zh-CN" w:bidi="ar-SA"/>
              </w:rPr>
            </w:pPr>
            <w:r>
              <w:rPr>
                <w:kern w:val="0"/>
                <w:sz w:val="25"/>
                <w:szCs w:val="25"/>
                <w:shd w:fill="auto" w:val="clear"/>
                <w:lang w:eastAsia="zh-CN" w:bidi="ar-SA"/>
              </w:rPr>
              <w:t>Nu se acceptă</w:t>
            </w:r>
          </w:p>
        </w:tc>
      </w:tr>
      <w:tr>
        <w:trPr/>
        <w:tc>
          <w:tcPr>
            <w:tcW w:w="5271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right" w:pos="426" w:leader="none"/>
              </w:tabs>
              <w:suppressAutoHyphens w:val="true"/>
              <w:spacing w:before="0" w:after="0"/>
              <w:jc w:val="start"/>
              <w:rPr>
                <w:kern w:val="0"/>
                <w:highlight w:val="none"/>
                <w:shd w:fill="auto" w:val="clear"/>
                <w:lang w:eastAsia="zh-CN" w:bidi="ar-SA"/>
              </w:rPr>
            </w:pPr>
            <w:r>
              <w:rPr>
                <w:kern w:val="0"/>
                <w:shd w:fill="auto" w:val="clear"/>
                <w:lang w:eastAsia="ru-RU" w:bidi="ar-SA"/>
              </w:rPr>
              <w:t>facturarea electronică</w:t>
            </w:r>
          </w:p>
        </w:tc>
        <w:tc>
          <w:tcPr>
            <w:tcW w:w="3770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right" w:pos="426" w:leader="none"/>
              </w:tabs>
              <w:suppressAutoHyphens w:val="true"/>
              <w:spacing w:before="0" w:after="0"/>
              <w:jc w:val="start"/>
              <w:rPr>
                <w:kern w:val="0"/>
                <w:highlight w:val="none"/>
                <w:shd w:fill="auto" w:val="clear"/>
                <w:lang w:eastAsia="zh-CN" w:bidi="ar-SA"/>
              </w:rPr>
            </w:pPr>
            <w:r>
              <w:rPr>
                <w:kern w:val="0"/>
                <w:sz w:val="25"/>
                <w:szCs w:val="25"/>
                <w:shd w:fill="auto" w:val="clear"/>
                <w:lang w:eastAsia="zh-CN" w:bidi="ar-SA"/>
              </w:rPr>
              <w:t>Se acceptă</w:t>
            </w:r>
          </w:p>
        </w:tc>
      </w:tr>
      <w:tr>
        <w:trPr>
          <w:trHeight w:val="77" w:hRule="atLeast"/>
        </w:trPr>
        <w:tc>
          <w:tcPr>
            <w:tcW w:w="5271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right" w:pos="426" w:leader="none"/>
              </w:tabs>
              <w:suppressAutoHyphens w:val="true"/>
              <w:spacing w:before="0" w:after="0"/>
              <w:jc w:val="start"/>
              <w:rPr>
                <w:kern w:val="0"/>
                <w:highlight w:val="none"/>
                <w:shd w:fill="auto" w:val="clear"/>
                <w:lang w:eastAsia="zh-CN" w:bidi="ar-SA"/>
              </w:rPr>
            </w:pPr>
            <w:r>
              <w:rPr>
                <w:kern w:val="0"/>
                <w:shd w:fill="auto" w:val="clear"/>
                <w:lang w:eastAsia="ru-RU" w:bidi="ar-SA"/>
              </w:rPr>
              <w:t>plățile electronice</w:t>
            </w:r>
          </w:p>
        </w:tc>
        <w:tc>
          <w:tcPr>
            <w:tcW w:w="3770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hd w:val="clear" w:color="auto" w:fill="FFFFFF" w:themeFill="background1"/>
              <w:tabs>
                <w:tab w:val="clear" w:pos="720"/>
                <w:tab w:val="right" w:pos="426" w:leader="none"/>
              </w:tabs>
              <w:suppressAutoHyphens w:val="true"/>
              <w:spacing w:before="0" w:after="0"/>
              <w:jc w:val="start"/>
              <w:rPr>
                <w:kern w:val="0"/>
                <w:highlight w:val="none"/>
                <w:shd w:fill="auto" w:val="clear"/>
                <w:lang w:eastAsia="zh-CN" w:bidi="ar-SA"/>
              </w:rPr>
            </w:pPr>
            <w:r>
              <w:rPr>
                <w:kern w:val="0"/>
                <w:sz w:val="25"/>
                <w:szCs w:val="25"/>
                <w:shd w:fill="auto" w:val="clear"/>
                <w:lang w:eastAsia="zh-CN" w:bidi="ar-SA"/>
              </w:rPr>
              <w:t>Se acceptă</w:t>
            </w:r>
          </w:p>
        </w:tc>
      </w:tr>
    </w:tbl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360" w:start="360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sz w:val="25"/>
          <w:szCs w:val="25"/>
          <w:shd w:fill="auto" w:val="clear"/>
          <w:lang w:val="en-US"/>
        </w:rPr>
        <w:t>nu se aplică</w:t>
      </w:r>
    </w:p>
    <w:p>
      <w:pPr>
        <w:pStyle w:val="Normal"/>
        <w:numPr>
          <w:ilvl w:val="0"/>
          <w:numId w:val="2"/>
        </w:numPr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ind w:hanging="0" w:start="0"/>
        <w:jc w:val="both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 xml:space="preserve">Alte informații relevante: </w:t>
      </w:r>
      <w:r>
        <w:rPr>
          <w:b/>
          <w:sz w:val="25"/>
          <w:szCs w:val="25"/>
          <w:shd w:fill="auto" w:val="clear"/>
        </w:rPr>
        <w:t>-.</w:t>
      </w:r>
    </w:p>
    <w:p>
      <w:pPr>
        <w:pStyle w:val="Normal"/>
        <w:shd w:val="clear" w:color="auto" w:fill="FFFFFF" w:themeFill="background1"/>
        <w:tabs>
          <w:tab w:val="clear" w:pos="720"/>
          <w:tab w:val="right" w:pos="426" w:leader="none"/>
        </w:tabs>
        <w:spacing w:before="120" w:after="0"/>
        <w:jc w:val="both"/>
        <w:rPr>
          <w:b/>
          <w:sz w:val="8"/>
          <w:szCs w:val="8"/>
          <w:highlight w:val="none"/>
          <w:shd w:fill="auto" w:val="clear"/>
          <w:lang w:eastAsia="ru-RU"/>
        </w:rPr>
      </w:pPr>
      <w:r>
        <w:rPr>
          <w:b/>
          <w:sz w:val="8"/>
          <w:szCs w:val="8"/>
          <w:shd w:fill="auto" w:val="clear"/>
          <w:lang w:eastAsia="ru-RU"/>
        </w:rPr>
      </w:r>
    </w:p>
    <w:p>
      <w:pPr>
        <w:pStyle w:val="Normal"/>
        <w:shd w:val="clear" w:color="auto" w:fill="FFFFFF" w:themeFill="background1"/>
        <w:tabs>
          <w:tab w:val="clear" w:pos="720"/>
          <w:tab w:val="left" w:pos="284" w:leader="none"/>
          <w:tab w:val="left" w:pos="426" w:leader="none"/>
          <w:tab w:val="decimal" w:pos="8364" w:leader="none"/>
        </w:tabs>
        <w:spacing w:lineRule="auto" w:line="276"/>
        <w:ind w:firstLine="284" w:start="-284" w:end="-144"/>
        <w:rPr>
          <w:highlight w:val="none"/>
          <w:shd w:fill="auto" w:val="clear"/>
        </w:rPr>
      </w:pPr>
      <w:r>
        <w:rPr>
          <w:b/>
          <w:shd w:fill="auto" w:val="clear"/>
          <w:lang w:eastAsia="ru-RU"/>
        </w:rPr>
        <w:t>Președintelui grupului de lucru:</w:t>
      </w:r>
    </w:p>
    <w:p>
      <w:pPr>
        <w:pStyle w:val="Normal"/>
        <w:shd w:val="clear" w:color="auto" w:fill="FFFFFF" w:themeFill="background1"/>
        <w:tabs>
          <w:tab w:val="clear" w:pos="720"/>
          <w:tab w:val="left" w:pos="284" w:leader="none"/>
          <w:tab w:val="left" w:pos="426" w:leader="none"/>
          <w:tab w:val="decimal" w:pos="8364" w:leader="none"/>
        </w:tabs>
        <w:spacing w:lineRule="auto" w:line="276"/>
        <w:ind w:firstLine="284" w:start="-284" w:end="-144"/>
        <w:rPr>
          <w:b/>
        </w:rPr>
      </w:pPr>
      <w:r>
        <w:rPr>
          <w:b/>
          <w:shd w:fill="auto" w:val="clear"/>
          <w:lang w:eastAsia="ru-RU"/>
        </w:rPr>
        <w:tab/>
        <w:tab/>
        <w:t>Chirița Olga</w:t>
        <w:tab/>
        <w:t xml:space="preserve">  </w:t>
      </w:r>
      <w:r>
        <w:rPr>
          <w:b/>
          <w:shd w:fill="auto" w:val="clear"/>
          <w:lang w:eastAsia="ru-RU"/>
        </w:rPr>
        <w:t>__</w:t>
      </w:r>
      <w:r>
        <w:rPr>
          <w:b/>
          <w:shd w:fill="FFFFFF" w:val="clear"/>
          <w:lang w:eastAsia="ru-RU"/>
        </w:rPr>
        <w:t xml:space="preserve">____________________________ </w:t>
      </w:r>
      <w:r>
        <w:rPr>
          <w:b/>
        </w:rPr>
        <w:t>.</w:t>
      </w:r>
    </w:p>
    <w:p>
      <w:pPr>
        <w:pStyle w:val="Normal"/>
        <w:shd w:val="clear" w:color="auto" w:fill="FFFFFF" w:themeFill="background1"/>
        <w:tabs>
          <w:tab w:val="clear" w:pos="720"/>
          <w:tab w:val="left" w:pos="284" w:leader="none"/>
          <w:tab w:val="left" w:pos="426" w:leader="none"/>
          <w:tab w:val="decimal" w:pos="8364" w:leader="none"/>
        </w:tabs>
        <w:spacing w:lineRule="auto" w:line="276"/>
        <w:ind w:firstLine="284" w:start="-284" w:end="-144"/>
        <w:rPr>
          <w:b/>
          <w:bCs/>
          <w:color w:val="000000"/>
        </w:rPr>
      </w:pPr>
      <w:r>
        <w:rPr>
          <w:b/>
        </w:rPr>
        <w:tab/>
        <w:tab/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1276" w:right="1134" w:gutter="0" w:header="0" w:top="284" w:footer="510" w:bottom="851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Calibri Light">
    <w:charset w:val="cc" w:characterSet="windows-1251"/>
    <w:family w:val="roman"/>
    <w:pitch w:val="variable"/>
  </w:font>
  <w:font w:name="Baltica RR">
    <w:charset w:val="cc" w:characterSet="windows-1251"/>
    <w:family w:val="roman"/>
    <w:pitch w:val="variable"/>
  </w:font>
  <w:font w:name="Calibri">
    <w:charset w:val="cc" w:characterSet="windows-1251"/>
    <w:family w:val="swiss"/>
    <w:pitch w:val="variable"/>
  </w:font>
  <w:font w:name="Cambria">
    <w:charset w:val="cc" w:characterSet="windows-1251"/>
    <w:family w:val="roman"/>
    <w:pitch w:val="variable"/>
  </w:font>
  <w:font w:name="Tahoma">
    <w:charset w:val="cc" w:characterSet="windows-1251"/>
    <w:family w:val="swiss"/>
    <w:pitch w:val="variable"/>
  </w:font>
  <w:font w:name="Consolas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Arial">
    <w:charset w:val="cc" w:characterSet="windows-1251"/>
    <w:family w:val="swiss"/>
    <w:pitch w:val="variable"/>
  </w:font>
  <w:font w:name="Tms Rmn">
    <w:altName w:val="Times New Roman"/>
    <w:charset w:val="cc" w:characterSet="windows-1251"/>
    <w:family w:val="roman"/>
    <w:pitch w:val="variable"/>
  </w:font>
  <w:font w:name="Calibri Light">
    <w:charset w:val="cc" w:characterSet="windows-1251"/>
    <w:family w:val="swiss"/>
    <w:pitch w:val="variable"/>
  </w:font>
  <w:font w:name="EUAlbertina">
    <w:charset w:val="cc" w:characterSet="windows-1251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id w:val="21019529"/>
      <w:docPartObj>
        <w:docPartGallery w:val="Page Numbers (Bottom of Page)"/>
        <w:docPartUnique w:val="true"/>
      </w:docPartObj>
    </w:sdtPr>
    <w:sdtContent>
      <w:p>
        <w:pPr>
          <w:pStyle w:val="Footer"/>
          <w:jc w:val="end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pStyle w:val="Heading1"/>
      <w:lvlText w:val="%1."/>
      <w:lvlJc w:val="end"/>
      <w:pPr>
        <w:tabs>
          <w:tab w:val="num" w:pos="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0"/>
        </w:tabs>
        <w:ind w:start="360" w:hanging="360"/>
      </w:pPr>
      <w:rPr>
        <w:b w:val="fals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643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3">
    <w:lvl w:ilvl="0">
      <w:start w:val="1"/>
      <w:numFmt w:val="decimal"/>
      <w:lvlText w:val="%1)"/>
      <w:lvlJc w:val="start"/>
      <w:pPr>
        <w:tabs>
          <w:tab w:val="num" w:pos="0"/>
        </w:tabs>
        <w:ind w:start="720" w:hanging="360"/>
      </w:pPr>
      <w:rPr>
        <w:b w:val="fals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4">
    <w:lvl w:ilvl="0">
      <w:start w:val="5"/>
      <w:numFmt w:val="bullet"/>
      <w:lvlText w:val="-"/>
      <w:lvlJc w:val="start"/>
      <w:pPr>
        <w:tabs>
          <w:tab w:val="num" w:pos="0"/>
        </w:tabs>
        <w:ind w:star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GB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0" w:semiHidden="0" w:unhideWhenUsed="0" w:qFormat="1"/>
    <w:lsdException w:name="Body Text 2" w:uiPriority="0"/>
    <w:lsdException w:name="Body Text Indent 2" w:uiPriority="0"/>
    <w:lsdException w:name="Body Text Indent 3" w:uiPriority="0"/>
    <w:lsdException w:name="Strong" w:uiPriority="22" w:semiHidden="0" w:unhideWhenUsed="0" w:qFormat="1"/>
    <w:lsdException w:name="Emphasis" w:uiPriority="20" w:semiHidden="0" w:unhideWhenUsed="0" w:qFormat="1"/>
    <w:lsdException w:name="annotation subject" w:uiPriority="0"/>
    <w:lsdException w:name="Balloon Text" w:uiPriority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c4c0e"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o-RO" w:eastAsia="en-US" w:bidi="ar-SA"/>
    </w:rPr>
  </w:style>
  <w:style w:type="paragraph" w:styleId="Heading1">
    <w:name w:val="heading 1"/>
    <w:basedOn w:val="ListParagraph"/>
    <w:next w:val="Normal"/>
    <w:link w:val="1"/>
    <w:qFormat/>
    <w:rsid w:val="00a20acf"/>
    <w:pPr>
      <w:numPr>
        <w:ilvl w:val="0"/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2"/>
    <w:unhideWhenUsed/>
    <w:qFormat/>
    <w:rsid w:val="00a20acf"/>
    <w:pPr>
      <w:keepNext w:val="true"/>
      <w:keepLines/>
      <w:spacing w:before="200" w:after="0"/>
      <w:outlineLvl w:val="1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5B9BD5"/>
      <w:sz w:val="26"/>
      <w:szCs w:val="26"/>
    </w:rPr>
  </w:style>
  <w:style w:type="paragraph" w:styleId="Heading3">
    <w:name w:val="heading 3"/>
    <w:basedOn w:val="Normal"/>
    <w:next w:val="Normal"/>
    <w:link w:val="3"/>
    <w:unhideWhenUsed/>
    <w:qFormat/>
    <w:rsid w:val="00a20acf"/>
    <w:pPr>
      <w:keepNext w:val="true"/>
      <w:keepLines/>
      <w:spacing w:before="200" w:after="0"/>
      <w:outlineLvl w:val="2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5B9BD5"/>
    </w:rPr>
  </w:style>
  <w:style w:type="paragraph" w:styleId="Heading4">
    <w:name w:val="heading 4"/>
    <w:basedOn w:val="Normal"/>
    <w:next w:val="Normal"/>
    <w:link w:val="4"/>
    <w:qFormat/>
    <w:rsid w:val="00a20acf"/>
    <w:pPr>
      <w:keepNext w:val="true"/>
      <w:outlineLvl w:val="3"/>
    </w:pPr>
    <w:rPr>
      <w:rFonts w:ascii="Baltica RR" w:hAnsi="Baltica RR"/>
      <w:b/>
      <w:szCs w:val="20"/>
      <w:lang w:eastAsia="ru-RU"/>
    </w:rPr>
  </w:style>
  <w:style w:type="paragraph" w:styleId="Heading5">
    <w:name w:val="heading 5"/>
    <w:basedOn w:val="Normal"/>
    <w:next w:val="Normal"/>
    <w:link w:val="5"/>
    <w:qFormat/>
    <w:rsid w:val="00a20acf"/>
    <w:pPr>
      <w:keepNext w:val="true"/>
      <w:ind w:firstLine="6804"/>
      <w:outlineLvl w:val="4"/>
    </w:pPr>
    <w:rPr>
      <w:sz w:val="28"/>
      <w:szCs w:val="20"/>
      <w:lang w:eastAsia="ru-RU"/>
    </w:rPr>
  </w:style>
  <w:style w:type="paragraph" w:styleId="Heading8">
    <w:name w:val="heading 8"/>
    <w:basedOn w:val="Normal"/>
    <w:next w:val="Normal"/>
    <w:link w:val="8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a20acf"/>
    <w:rPr>
      <w:rFonts w:ascii="Times New Roman" w:hAnsi="Times New Roman" w:eastAsia="Times New Roman" w:cs="Times New Roman"/>
      <w:b/>
      <w:sz w:val="24"/>
      <w:szCs w:val="24"/>
      <w:lang w:val="en-US"/>
    </w:rPr>
  </w:style>
  <w:style w:type="character" w:styleId="2" w:customStyle="1">
    <w:name w:val="Заголовок 2 Знак"/>
    <w:basedOn w:val="DefaultParagraphFont"/>
    <w:qFormat/>
    <w:rsid w:val="00a20acf"/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5B9BD5"/>
      <w:sz w:val="26"/>
      <w:szCs w:val="26"/>
      <w:lang w:val="ro-RO"/>
    </w:rPr>
  </w:style>
  <w:style w:type="character" w:styleId="3" w:customStyle="1">
    <w:name w:val="Заголовок 3 Знак"/>
    <w:basedOn w:val="DefaultParagraphFont"/>
    <w:qFormat/>
    <w:rsid w:val="00a20acf"/>
    <w:rPr>
      <w:rFonts w:ascii="Calibri Light" w:hAnsi="Calibri Light" w:eastAsia="" w:cs="" w:asciiTheme="majorHAnsi" w:cstheme="majorBidi" w:eastAsiaTheme="majorEastAsia" w:hAnsiTheme="majorHAnsi"/>
      <w:b/>
      <w:bCs/>
      <w:color w:themeColor="accent1" w:val="5B9BD5"/>
      <w:sz w:val="24"/>
      <w:szCs w:val="24"/>
      <w:lang w:val="ro-RO"/>
    </w:rPr>
  </w:style>
  <w:style w:type="character" w:styleId="4" w:customStyle="1">
    <w:name w:val="Заголовок 4 Знак"/>
    <w:basedOn w:val="DefaultParagraphFont"/>
    <w:qFormat/>
    <w:rsid w:val="00a20acf"/>
    <w:rPr>
      <w:rFonts w:ascii="Baltica RR" w:hAnsi="Baltica RR" w:eastAsia="Times New Roman" w:cs="Times New Roman"/>
      <w:b/>
      <w:sz w:val="24"/>
      <w:szCs w:val="20"/>
      <w:lang w:val="ro-RO" w:eastAsia="ru-RU"/>
    </w:rPr>
  </w:style>
  <w:style w:type="character" w:styleId="5" w:customStyle="1">
    <w:name w:val="Заголовок 5 Знак"/>
    <w:basedOn w:val="DefaultParagraphFont"/>
    <w:qFormat/>
    <w:rsid w:val="00a20acf"/>
    <w:rPr>
      <w:rFonts w:ascii="Times New Roman" w:hAnsi="Times New Roman" w:eastAsia="Times New Roman" w:cs="Times New Roman"/>
      <w:sz w:val="28"/>
      <w:szCs w:val="20"/>
      <w:lang w:val="ro-RO" w:eastAsia="ru-RU"/>
    </w:rPr>
  </w:style>
  <w:style w:type="character" w:styleId="8" w:customStyle="1">
    <w:name w:val="Заголовок 8 Знак"/>
    <w:basedOn w:val="DefaultParagraphFont"/>
    <w:semiHidden/>
    <w:qFormat/>
    <w:rsid w:val="00a20acf"/>
    <w:rPr>
      <w:rFonts w:ascii="Calibri" w:hAnsi="Calibri" w:eastAsia="Times New Roman" w:cs="Times New Roman"/>
      <w:i/>
      <w:iCs/>
      <w:sz w:val="24"/>
      <w:szCs w:val="24"/>
      <w:lang w:val="ro-RO"/>
    </w:rPr>
  </w:style>
  <w:style w:type="character" w:styleId="9" w:customStyle="1">
    <w:name w:val="Заголовок 9 Знак"/>
    <w:basedOn w:val="DefaultParagraphFont"/>
    <w:semiHidden/>
    <w:qFormat/>
    <w:rsid w:val="00a20acf"/>
    <w:rPr>
      <w:rFonts w:ascii="Cambria" w:hAnsi="Cambria" w:eastAsia="Times New Roman" w:cs="Times New Roman"/>
      <w:lang w:val="ro-RO"/>
    </w:rPr>
  </w:style>
  <w:style w:type="character" w:styleId="Style7" w:customStyle="1">
    <w:name w:val="Нижний колонтитул Знак"/>
    <w:basedOn w:val="DefaultParagraphFont"/>
    <w:uiPriority w:val="99"/>
    <w:qFormat/>
    <w:rsid w:val="00a20acf"/>
    <w:rPr>
      <w:rFonts w:ascii="Times New Roman" w:hAnsi="Times New Roman" w:eastAsia="Times New Roman" w:cs="Times New Roman"/>
      <w:sz w:val="24"/>
      <w:szCs w:val="24"/>
      <w:lang w:val="ro-RO"/>
    </w:rPr>
  </w:style>
  <w:style w:type="character" w:styleId="PageNumber">
    <w:name w:val="page number"/>
    <w:basedOn w:val="DefaultParagraphFont"/>
    <w:rsid w:val="00a20acf"/>
    <w:rPr/>
  </w:style>
  <w:style w:type="character" w:styleId="Style8" w:customStyle="1">
    <w:name w:val="Основной текст Знак"/>
    <w:basedOn w:val="DefaultParagraphFont"/>
    <w:qFormat/>
    <w:rsid w:val="00a20acf"/>
    <w:rPr>
      <w:rFonts w:ascii="Baltica RR" w:hAnsi="Baltica RR" w:eastAsia="Times New Roman" w:cs="Times New Roman"/>
      <w:sz w:val="24"/>
      <w:szCs w:val="20"/>
      <w:lang w:val="ro-RO"/>
    </w:rPr>
  </w:style>
  <w:style w:type="character" w:styleId="Style9" w:customStyle="1">
    <w:name w:val="Верхний колонтитул Знак"/>
    <w:basedOn w:val="DefaultParagraphFont"/>
    <w:qFormat/>
    <w:rsid w:val="00a20acf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styleId="Style10" w:customStyle="1">
    <w:name w:val="Подзаголовок Знак"/>
    <w:basedOn w:val="DefaultParagraphFont"/>
    <w:qFormat/>
    <w:rsid w:val="00a20acf"/>
    <w:rPr>
      <w:rFonts w:ascii="Times New Roman" w:hAnsi="Times New Roman" w:eastAsia="Times New Roman" w:cs="Times New Roman"/>
      <w:b/>
      <w:sz w:val="32"/>
      <w:szCs w:val="20"/>
      <w:lang w:val="en-US" w:eastAsia="ru-RU"/>
    </w:rPr>
  </w:style>
  <w:style w:type="character" w:styleId="Style11" w:customStyle="1">
    <w:name w:val="Основной текст с отступом Знак"/>
    <w:basedOn w:val="DefaultParagraphFont"/>
    <w:qFormat/>
    <w:rsid w:val="00a20acf"/>
    <w:rPr>
      <w:rFonts w:ascii="Times New Roman" w:hAnsi="Times New Roman" w:eastAsia="Times New Roman" w:cs="Times New Roman"/>
      <w:sz w:val="20"/>
      <w:szCs w:val="20"/>
      <w:lang w:val="ro-RO" w:eastAsia="ru-RU"/>
    </w:rPr>
  </w:style>
  <w:style w:type="character" w:styleId="21" w:customStyle="1">
    <w:name w:val="Основной текст с отступом 2 Знак"/>
    <w:basedOn w:val="DefaultParagraphFont"/>
    <w:link w:val="BodyTextIndent2"/>
    <w:qFormat/>
    <w:rsid w:val="00a20acf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styleId="22" w:customStyle="1">
    <w:name w:val="Основной текст 2 Знак"/>
    <w:basedOn w:val="DefaultParagraphFont"/>
    <w:link w:val="BodyText2"/>
    <w:qFormat/>
    <w:rsid w:val="00a20acf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styleId="Style12" w:customStyle="1">
    <w:name w:val="Текст выноски Знак"/>
    <w:basedOn w:val="DefaultParagraphFont"/>
    <w:link w:val="BalloonText"/>
    <w:semiHidden/>
    <w:qFormat/>
    <w:rsid w:val="00a20acf"/>
    <w:rPr>
      <w:rFonts w:ascii="Tahoma" w:hAnsi="Tahoma" w:eastAsia="Times New Roman" w:cs="Tahoma"/>
      <w:sz w:val="16"/>
      <w:szCs w:val="16"/>
      <w:lang w:val="ru-RU" w:eastAsia="ru-RU"/>
    </w:rPr>
  </w:style>
  <w:style w:type="character" w:styleId="31" w:customStyle="1">
    <w:name w:val="Основной текст с отступом 3 Знак"/>
    <w:basedOn w:val="DefaultParagraphFont"/>
    <w:link w:val="BodyTextIndent3"/>
    <w:qFormat/>
    <w:rsid w:val="00a20acf"/>
    <w:rPr>
      <w:rFonts w:ascii="Times New Roman" w:hAnsi="Times New Roman" w:eastAsia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character" w:styleId="Style13" w:customStyle="1">
    <w:name w:val="Текст сноски Знак"/>
    <w:basedOn w:val="DefaultParagraphFont"/>
    <w:qFormat/>
    <w:rsid w:val="00a20acf"/>
    <w:rPr>
      <w:rFonts w:ascii="Times New Roman" w:hAnsi="Times New Roman" w:eastAsia="Times New Roman" w:cs="Times New Roman"/>
      <w:sz w:val="20"/>
      <w:szCs w:val="20"/>
      <w:lang w:val="en-US"/>
    </w:rPr>
  </w:style>
  <w:style w:type="character" w:styleId="Style14" w:customStyle="1">
    <w:name w:val="Символ сноски"/>
    <w:qFormat/>
    <w:rsid w:val="00a20acf"/>
    <w:rPr>
      <w:vertAlign w:val="superscript"/>
    </w:rPr>
  </w:style>
  <w:style w:type="character" w:styleId="user" w:customStyle="1">
    <w:name w:val="Символ сноски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ommentReference">
    <w:name w:val="annotation reference"/>
    <w:uiPriority w:val="99"/>
    <w:qFormat/>
    <w:rsid w:val="00a20acf"/>
    <w:rPr>
      <w:sz w:val="16"/>
      <w:szCs w:val="16"/>
    </w:rPr>
  </w:style>
  <w:style w:type="character" w:styleId="Style15" w:customStyle="1">
    <w:name w:val="Текст примечания Знак"/>
    <w:basedOn w:val="DefaultParagraphFont"/>
    <w:uiPriority w:val="99"/>
    <w:qFormat/>
    <w:rsid w:val="00a20acf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styleId="Style16" w:customStyle="1">
    <w:name w:val="Тема примечания Знак"/>
    <w:basedOn w:val="Style15"/>
    <w:link w:val="annotationsubject"/>
    <w:qFormat/>
    <w:rsid w:val="00a20acf"/>
    <w:rPr>
      <w:rFonts w:ascii="Times New Roman" w:hAnsi="Times New Roman" w:eastAsia="Times New Roman" w:cs="Times New Roman"/>
      <w:b/>
      <w:bCs/>
      <w:sz w:val="20"/>
      <w:szCs w:val="20"/>
      <w:lang w:val="ru-RU" w:eastAsia="ru-RU"/>
    </w:rPr>
  </w:style>
  <w:style w:type="character" w:styleId="apple-converted-space" w:customStyle="1">
    <w:name w:val="apple-converted-space"/>
    <w:qFormat/>
    <w:rsid w:val="00a20acf"/>
    <w:rPr/>
  </w:style>
  <w:style w:type="character" w:styleId="Style3Char" w:customStyle="1">
    <w:name w:val="Style3 Char"/>
    <w:link w:val="Style31"/>
    <w:qFormat/>
    <w:rsid w:val="00a20acf"/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character" w:styleId="FontStyle195" w:customStyle="1">
    <w:name w:val="Font Style195"/>
    <w:uiPriority w:val="99"/>
    <w:qFormat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character" w:styleId="FontStyle197" w:customStyle="1">
    <w:name w:val="Font Style197"/>
    <w:uiPriority w:val="99"/>
    <w:qFormat/>
    <w:rsid w:val="00a20acf"/>
    <w:rPr>
      <w:rFonts w:ascii="Times New Roman" w:hAnsi="Times New Roman" w:cs="Times New Roman"/>
      <w:sz w:val="22"/>
      <w:szCs w:val="22"/>
    </w:rPr>
  </w:style>
  <w:style w:type="character" w:styleId="HTML" w:customStyle="1">
    <w:name w:val="Стандартный HTML Знак"/>
    <w:basedOn w:val="DefaultParagraphFont"/>
    <w:link w:val="HTMLPreformatted"/>
    <w:uiPriority w:val="99"/>
    <w:semiHidden/>
    <w:qFormat/>
    <w:rsid w:val="00a20acf"/>
    <w:rPr>
      <w:rFonts w:ascii="Consolas" w:hAnsi="Consolas" w:eastAsia="Times New Roman" w:cs="Times New Roman"/>
      <w:sz w:val="20"/>
      <w:szCs w:val="20"/>
      <w:lang w:val="ro-RO"/>
    </w:rPr>
  </w:style>
  <w:style w:type="character" w:styleId="Style4Char" w:customStyle="1">
    <w:name w:val="Style4 Char"/>
    <w:basedOn w:val="Style3Char"/>
    <w:qFormat/>
    <w:locked/>
    <w:rsid w:val="00bf5bf3"/>
    <w:rPr>
      <w:rFonts w:ascii="Times New Roman" w:hAnsi="Times New Roman" w:eastAsia="Calibri" w:cs="Times New Roman"/>
      <w:b/>
      <w:sz w:val="24"/>
      <w:szCs w:val="24"/>
      <w:lang w:val="ru-RU" w:eastAsia="ru-RU" w:bidi="ar-SA"/>
    </w:rPr>
  </w:style>
  <w:style w:type="character" w:styleId="shorttext" w:customStyle="1">
    <w:name w:val="short_text"/>
    <w:qFormat/>
    <w:rsid w:val="00233538"/>
    <w:rPr/>
  </w:style>
  <w:style w:type="character" w:styleId="Style17" w:customStyle="1">
    <w:name w:val="Основной текст + Курсив"/>
    <w:qFormat/>
    <w:rsid w:val="0077101f"/>
    <w:rPr>
      <w:rFonts w:ascii="Times New Roman" w:hAnsi="Times New Roman"/>
      <w:i/>
      <w:color w:val="000000"/>
      <w:spacing w:val="0"/>
      <w:w w:val="10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character" w:styleId="PlaceholderText">
    <w:name w:val="Placeholder Text"/>
    <w:basedOn w:val="DefaultParagraphFont"/>
    <w:uiPriority w:val="99"/>
    <w:semiHidden/>
    <w:qFormat/>
    <w:rsid w:val="00130a49"/>
    <w:rPr>
      <w:color w:val="808080"/>
    </w:rPr>
  </w:style>
  <w:style w:type="character" w:styleId="ln2paragraf1" w:customStyle="1">
    <w:name w:val="ln2paragraf1"/>
    <w:qFormat/>
    <w:rsid w:val="007d2982"/>
    <w:rPr>
      <w:b/>
      <w:bCs/>
    </w:rPr>
  </w:style>
  <w:style w:type="character" w:styleId="ln2tparagraf" w:customStyle="1">
    <w:name w:val="ln2tparagraf"/>
    <w:qFormat/>
    <w:rsid w:val="007d2982"/>
    <w:rPr/>
  </w:style>
  <w:style w:type="character" w:styleId="ln2tpunct" w:customStyle="1">
    <w:name w:val="ln2tpunct"/>
    <w:qFormat/>
    <w:rsid w:val="007d2982"/>
    <w:rPr/>
  </w:style>
  <w:style w:type="character" w:styleId="tax1" w:customStyle="1">
    <w:name w:val="tax1"/>
    <w:qFormat/>
    <w:rsid w:val="00ac7dac"/>
    <w:rPr>
      <w:b/>
      <w:bCs/>
      <w:sz w:val="26"/>
      <w:szCs w:val="26"/>
    </w:rPr>
  </w:style>
  <w:style w:type="character" w:styleId="DefaultTextChar" w:customStyle="1">
    <w:name w:val="Default Text Char"/>
    <w:link w:val="DefaultText"/>
    <w:uiPriority w:val="99"/>
    <w:qFormat/>
    <w:locked/>
    <w:rsid w:val="006a6fda"/>
    <w:rPr>
      <w:rFonts w:ascii="Times New Roman" w:hAnsi="Times New Roman" w:eastAsia="Times New Roman" w:cs="Times New Roman"/>
      <w:sz w:val="24"/>
      <w:szCs w:val="20"/>
      <w:lang w:val="en-US"/>
    </w:rPr>
  </w:style>
  <w:style w:type="paragraph" w:styleId="Style18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8"/>
    <w:rsid w:val="00a20acf"/>
    <w:pPr/>
    <w:rPr>
      <w:rFonts w:ascii="Baltica RR" w:hAnsi="Baltica RR"/>
      <w:szCs w:val="20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kern w:val="2"/>
      <w:sz w:val="32"/>
      <w:szCs w:val="20"/>
      <w:lang w:val="ru-RU" w:eastAsia="ru-RU"/>
    </w:rPr>
  </w:style>
  <w:style w:type="paragraph" w:styleId="Style19" w:customStyle="1">
    <w:name w:val="Указатель"/>
    <w:basedOn w:val="Normal"/>
    <w:qFormat/>
    <w:pPr>
      <w:suppressLineNumbers/>
    </w:pPr>
    <w:rPr>
      <w:rFonts w:cs="Lucida Sans"/>
    </w:rPr>
  </w:style>
  <w:style w:type="paragraph" w:styleId="user1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xHeading">
    <w:name w:val="index heading"/>
    <w:basedOn w:val="Style18"/>
    <w:pPr/>
    <w:rPr/>
  </w:style>
  <w:style w:type="paragraph" w:styleId="Style20" w:customStyle="1">
    <w:name w:val="Колонтитулы"/>
    <w:basedOn w:val="Normal"/>
    <w:qFormat/>
    <w:pPr/>
    <w:rPr/>
  </w:style>
  <w:style w:type="paragraph" w:styleId="user2" w:customStyle="1">
    <w:name w:val="Колонтитулы (user)"/>
    <w:basedOn w:val="Normal"/>
    <w:qFormat/>
    <w:pPr/>
    <w:rPr/>
  </w:style>
  <w:style w:type="paragraph" w:styleId="Footer">
    <w:name w:val="footer"/>
    <w:basedOn w:val="Normal"/>
    <w:link w:val="Style7"/>
    <w:uiPriority w:val="99"/>
    <w:rsid w:val="00a20acf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a20acf"/>
    <w:pPr>
      <w:tabs>
        <w:tab w:val="clear" w:pos="720"/>
        <w:tab w:val="left" w:pos="0" w:leader="none"/>
        <w:tab w:val="left" w:pos="1134" w:leader="none"/>
      </w:tabs>
      <w:ind w:hanging="360" w:start="360"/>
      <w:jc w:val="both"/>
    </w:pPr>
    <w:rPr>
      <w:lang w:val="en-US"/>
    </w:rPr>
  </w:style>
  <w:style w:type="paragraph" w:styleId="Header">
    <w:name w:val="header"/>
    <w:basedOn w:val="Normal"/>
    <w:link w:val="Style9"/>
    <w:rsid w:val="00a20acf"/>
    <w:pPr>
      <w:tabs>
        <w:tab w:val="clear" w:pos="720"/>
        <w:tab w:val="center" w:pos="4703" w:leader="none"/>
        <w:tab w:val="right" w:pos="9406" w:leader="none"/>
      </w:tabs>
    </w:pPr>
    <w:rPr>
      <w:sz w:val="20"/>
      <w:szCs w:val="20"/>
      <w:lang w:val="ru-RU" w:eastAsia="ru-RU"/>
    </w:rPr>
  </w:style>
  <w:style w:type="paragraph" w:styleId="Subtitle">
    <w:name w:val="Subtitle"/>
    <w:basedOn w:val="Normal"/>
    <w:link w:val="Style10"/>
    <w:qFormat/>
    <w:rsid w:val="00a20acf"/>
    <w:pPr>
      <w:jc w:val="center"/>
    </w:pPr>
    <w:rPr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Style11"/>
    <w:rsid w:val="00a20acf"/>
    <w:pPr>
      <w:ind w:firstLine="720"/>
      <w:jc w:val="both"/>
    </w:pPr>
    <w:rPr>
      <w:sz w:val="20"/>
      <w:szCs w:val="20"/>
      <w:lang w:eastAsia="ru-RU"/>
    </w:rPr>
  </w:style>
  <w:style w:type="paragraph" w:styleId="BodyTextIndent2">
    <w:name w:val="Body Text Indent 2"/>
    <w:basedOn w:val="Normal"/>
    <w:link w:val="21"/>
    <w:qFormat/>
    <w:rsid w:val="00a20acf"/>
    <w:pPr>
      <w:ind w:firstLine="567"/>
    </w:pPr>
    <w:rPr>
      <w:rFonts w:ascii="Baltica RR" w:hAnsi="Baltica RR"/>
      <w:szCs w:val="20"/>
      <w:lang w:eastAsia="ru-RU"/>
    </w:rPr>
  </w:style>
  <w:style w:type="paragraph" w:styleId="BodyText2">
    <w:name w:val="Body Text 2"/>
    <w:basedOn w:val="Normal"/>
    <w:link w:val="22"/>
    <w:qFormat/>
    <w:rsid w:val="00a20acf"/>
    <w:pPr>
      <w:tabs>
        <w:tab w:val="clear" w:pos="720"/>
        <w:tab w:val="left" w:pos="426" w:leader="none"/>
      </w:tabs>
      <w:jc w:val="both"/>
    </w:pPr>
    <w:rPr>
      <w:rFonts w:ascii="Baltica RR" w:hAnsi="Baltica RR"/>
      <w:szCs w:val="20"/>
      <w:lang w:eastAsia="ru-RU"/>
    </w:rPr>
  </w:style>
  <w:style w:type="paragraph" w:styleId="BalloonText">
    <w:name w:val="Balloon Text"/>
    <w:basedOn w:val="Normal"/>
    <w:link w:val="Style12"/>
    <w:semiHidden/>
    <w:qFormat/>
    <w:rsid w:val="00a20acf"/>
    <w:pPr/>
    <w:rPr>
      <w:rFonts w:ascii="Tahoma" w:hAnsi="Tahoma" w:cs="Tahoma"/>
      <w:sz w:val="16"/>
      <w:szCs w:val="16"/>
      <w:lang w:val="ru-RU" w:eastAsia="ru-RU"/>
    </w:rPr>
  </w:style>
  <w:style w:type="paragraph" w:styleId="NormalWeb">
    <w:name w:val="Normal (Web)"/>
    <w:basedOn w:val="Normal"/>
    <w:uiPriority w:val="99"/>
    <w:unhideWhenUsed/>
    <w:qFormat/>
    <w:rsid w:val="00a20acf"/>
    <w:pPr>
      <w:ind w:firstLine="567"/>
      <w:jc w:val="both"/>
    </w:pPr>
    <w:rPr>
      <w:lang w:val="ru-RU" w:eastAsia="ru-RU"/>
    </w:rPr>
  </w:style>
  <w:style w:type="paragraph" w:styleId="cn" w:customStyle="1">
    <w:name w:val="cn"/>
    <w:basedOn w:val="Normal"/>
    <w:qFormat/>
    <w:rsid w:val="00a20acf"/>
    <w:pPr>
      <w:jc w:val="center"/>
    </w:pPr>
    <w:rPr>
      <w:lang w:val="ru-RU" w:eastAsia="ru-RU"/>
    </w:rPr>
  </w:style>
  <w:style w:type="paragraph" w:styleId="cb" w:customStyle="1">
    <w:name w:val="cb"/>
    <w:basedOn w:val="Normal"/>
    <w:qFormat/>
    <w:rsid w:val="00a20acf"/>
    <w:pPr>
      <w:jc w:val="center"/>
    </w:pPr>
    <w:rPr>
      <w:b/>
      <w:bCs/>
      <w:lang w:val="ru-RU" w:eastAsia="ru-RU"/>
    </w:rPr>
  </w:style>
  <w:style w:type="paragraph" w:styleId="BodyTextIndent3">
    <w:name w:val="Body Text Indent 3"/>
    <w:basedOn w:val="Normal"/>
    <w:link w:val="31"/>
    <w:qFormat/>
    <w:rsid w:val="00a20acf"/>
    <w:pPr>
      <w:spacing w:before="0" w:after="120"/>
      <w:ind w:start="283"/>
    </w:pPr>
    <w:rPr>
      <w:sz w:val="16"/>
      <w:szCs w:val="16"/>
    </w:rPr>
  </w:style>
  <w:style w:type="paragraph" w:styleId="cp" w:customStyle="1">
    <w:name w:val="cp"/>
    <w:basedOn w:val="Normal"/>
    <w:qFormat/>
    <w:rsid w:val="00a20acf"/>
    <w:pPr>
      <w:jc w:val="center"/>
    </w:pPr>
    <w:rPr>
      <w:b/>
      <w:bCs/>
      <w:lang w:eastAsia="ru-RU"/>
    </w:rPr>
  </w:style>
  <w:style w:type="paragraph" w:styleId="rg" w:customStyle="1">
    <w:name w:val="rg"/>
    <w:basedOn w:val="Normal"/>
    <w:qFormat/>
    <w:rsid w:val="00a20acf"/>
    <w:pPr>
      <w:jc w:val="end"/>
    </w:pPr>
    <w:rPr>
      <w:lang w:val="ru-RU" w:eastAsia="ru-RU"/>
    </w:rPr>
  </w:style>
  <w:style w:type="paragraph" w:styleId="Listparagraf1" w:customStyle="1">
    <w:name w:val="Listă paragraf1"/>
    <w:basedOn w:val="Normal"/>
    <w:qFormat/>
    <w:rsid w:val="00a20acf"/>
    <w:pPr>
      <w:ind w:start="708"/>
    </w:pPr>
    <w:rPr>
      <w:lang w:eastAsia="ru-RU"/>
    </w:rPr>
  </w:style>
  <w:style w:type="paragraph" w:styleId="Sub-ClauseText" w:customStyle="1">
    <w:name w:val="Sub-Clause Text"/>
    <w:basedOn w:val="Normal"/>
    <w:qFormat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styleId="i" w:customStyle="1">
    <w:name w:val="(i)"/>
    <w:basedOn w:val="Normal"/>
    <w:qFormat/>
    <w:rsid w:val="00a20acf"/>
    <w:pPr>
      <w:jc w:val="both"/>
    </w:pPr>
    <w:rPr>
      <w:rFonts w:ascii="Tms Rmn" w:hAnsi="Tms Rmn"/>
      <w:szCs w:val="20"/>
      <w:lang w:val="en-US"/>
    </w:rPr>
  </w:style>
  <w:style w:type="paragraph" w:styleId="ListParagraph1" w:customStyle="1">
    <w:name w:val="List Paragraph1"/>
    <w:basedOn w:val="Normal"/>
    <w:qFormat/>
    <w:rsid w:val="00a20acf"/>
    <w:pPr>
      <w:spacing w:lineRule="auto" w:line="276" w:before="0" w:after="200"/>
      <w:ind w:start="720"/>
      <w:contextualSpacing/>
    </w:pPr>
    <w:rPr>
      <w:rFonts w:ascii="Calibri" w:hAnsi="Calibri" w:eastAsia="PMingLiU"/>
      <w:sz w:val="22"/>
      <w:szCs w:val="22"/>
      <w:lang w:val="en-US" w:eastAsia="zh-CN"/>
    </w:rPr>
  </w:style>
  <w:style w:type="paragraph" w:styleId="BankNormal" w:customStyle="1">
    <w:name w:val="BankNormal"/>
    <w:basedOn w:val="Normal"/>
    <w:qFormat/>
    <w:rsid w:val="00a20acf"/>
    <w:pPr>
      <w:spacing w:before="0" w:after="240"/>
    </w:pPr>
    <w:rPr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 w:val="true"/>
      <w:keepLines/>
      <w:numPr>
        <w:ilvl w:val="0"/>
        <w:numId w:val="0"/>
      </w:numPr>
      <w:tabs>
        <w:tab w:val="clear" w:pos="1134"/>
      </w:tabs>
      <w:spacing w:lineRule="auto" w:line="259" w:before="240" w:after="120"/>
      <w:ind w:hanging="360" w:start="360"/>
      <w:jc w:val="start"/>
      <w:outlineLvl w:val="9"/>
    </w:pPr>
    <w:rPr>
      <w:rFonts w:ascii="Calibri Light" w:hAnsi="Calibri Light" w:eastAsia="SimSun"/>
      <w:b w:val="false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clear" w:pos="720"/>
        <w:tab w:val="left" w:pos="660" w:leader="none"/>
        <w:tab w:val="right" w:pos="9628" w:leader="dot"/>
      </w:tabs>
      <w:spacing w:lineRule="auto" w:line="259" w:before="0" w:after="100"/>
      <w:ind w:star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clear" w:pos="720"/>
        <w:tab w:val="right" w:pos="9638" w:leader="dot"/>
      </w:tabs>
      <w:spacing w:lineRule="auto" w:line="259" w:before="0" w:after="100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lineRule="auto" w:line="259" w:before="0" w:after="100"/>
      <w:ind w:start="440"/>
    </w:pPr>
    <w:rPr>
      <w:rFonts w:ascii="Calibri" w:hAnsi="Calibri" w:eastAsia="SimSun"/>
      <w:sz w:val="22"/>
      <w:szCs w:val="22"/>
      <w:lang w:val="en-US"/>
    </w:rPr>
  </w:style>
  <w:style w:type="paragraph" w:styleId="FootnoteText">
    <w:name w:val="footnote text"/>
    <w:basedOn w:val="Normal"/>
    <w:link w:val="Style13"/>
    <w:rsid w:val="00a20acf"/>
    <w:pPr>
      <w:jc w:val="both"/>
    </w:pPr>
    <w:rPr>
      <w:sz w:val="20"/>
      <w:szCs w:val="20"/>
      <w:lang w:val="en-US"/>
    </w:rPr>
  </w:style>
  <w:style w:type="paragraph" w:styleId="CommentText">
    <w:name w:val="annotation text"/>
    <w:basedOn w:val="Normal"/>
    <w:link w:val="Style15"/>
    <w:uiPriority w:val="99"/>
    <w:rsid w:val="00a20acf"/>
    <w:pPr/>
    <w:rPr>
      <w:sz w:val="20"/>
      <w:szCs w:val="20"/>
      <w:lang w:val="ru-RU" w:eastAsia="ru-RU"/>
    </w:rPr>
  </w:style>
  <w:style w:type="paragraph" w:styleId="annotationsubject">
    <w:name w:val="annotation subject"/>
    <w:basedOn w:val="CommentText"/>
    <w:next w:val="CommentText"/>
    <w:link w:val="Style16"/>
    <w:qFormat/>
    <w:rsid w:val="00a20acf"/>
    <w:pPr/>
    <w:rPr>
      <w:b/>
      <w:bCs/>
    </w:rPr>
  </w:style>
  <w:style w:type="paragraph" w:styleId="Default" w:customStyle="1">
    <w:name w:val="Default"/>
    <w:qFormat/>
    <w:rsid w:val="00a20acf"/>
    <w:pPr>
      <w:widowControl/>
      <w:suppressAutoHyphens w:val="true"/>
      <w:bidi w:val="0"/>
      <w:spacing w:before="0" w:after="0"/>
      <w:jc w:val="start"/>
    </w:pPr>
    <w:rPr>
      <w:rFonts w:ascii="EUAlbertina" w:hAnsi="EUAlbertina" w:eastAsia="PMingLiU" w:cs="EUAlbertina"/>
      <w:color w:val="000000"/>
      <w:kern w:val="0"/>
      <w:sz w:val="24"/>
      <w:szCs w:val="24"/>
      <w:lang w:val="en-US" w:eastAsia="zh-CN" w:bidi="ar-SA"/>
    </w:rPr>
  </w:style>
  <w:style w:type="paragraph" w:styleId="Standard" w:customStyle="1">
    <w:name w:val="Standard"/>
    <w:qFormat/>
    <w:rsid w:val="00a20acf"/>
    <w:pPr>
      <w:widowControl/>
      <w:suppressAutoHyphens w:val="true"/>
      <w:bidi w:val="0"/>
      <w:spacing w:lineRule="auto" w:line="276" w:before="0" w:after="200"/>
      <w:jc w:val="start"/>
    </w:pPr>
    <w:rPr>
      <w:rFonts w:cs="Calibri" w:ascii="Calibri" w:hAnsi="Calibri" w:eastAsia="Calibri" w:asciiTheme="minorHAnsi" w:eastAsiaTheme="minorHAnsi" w:hAnsiTheme="minorHAnsi"/>
      <w:color w:val="auto"/>
      <w:kern w:val="2"/>
      <w:sz w:val="22"/>
      <w:szCs w:val="22"/>
      <w:lang w:val="en-US" w:eastAsia="en-US" w:bidi="ar-SA"/>
    </w:rPr>
  </w:style>
  <w:style w:type="paragraph" w:styleId="Style31" w:customStyle="1">
    <w:name w:val="Style3"/>
    <w:basedOn w:val="Heading3"/>
    <w:link w:val="Style3Char"/>
    <w:qFormat/>
    <w:rsid w:val="00a20acf"/>
    <w:pPr>
      <w:keepNext w:val="false"/>
      <w:keepLines w:val="false"/>
      <w:tabs>
        <w:tab w:val="clear" w:pos="720"/>
        <w:tab w:val="left" w:pos="360" w:leader="none"/>
      </w:tabs>
      <w:spacing w:beforeAutospacing="1" w:after="120"/>
      <w:ind w:hanging="870" w:start="1338"/>
    </w:pPr>
    <w:rPr>
      <w:rFonts w:ascii="Times New Roman" w:hAnsi="Times New Roman" w:eastAsia="Times New Roman" w:cs="Times New Roman"/>
      <w:bCs w:val="false"/>
      <w:color w:val="auto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lineRule="auto" w:line="276" w:before="0" w:after="100"/>
      <w:ind w:start="660"/>
    </w:pPr>
    <w:rPr>
      <w:rFonts w:ascii="Calibri" w:hAnsi="Calibri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lineRule="auto" w:line="276" w:before="0" w:after="100"/>
      <w:ind w:start="880"/>
    </w:pPr>
    <w:rPr>
      <w:rFonts w:ascii="Calibri" w:hAnsi="Calibri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lineRule="auto" w:line="276" w:before="0" w:after="100"/>
      <w:ind w:start="1100"/>
    </w:pPr>
    <w:rPr>
      <w:rFonts w:ascii="Calibri" w:hAnsi="Calibri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lineRule="auto" w:line="276" w:before="0" w:after="100"/>
      <w:ind w:start="1320"/>
    </w:pPr>
    <w:rPr>
      <w:rFonts w:ascii="Calibri" w:hAnsi="Calibri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lineRule="auto" w:line="276" w:before="0" w:after="100"/>
      <w:ind w:start="1540"/>
    </w:pPr>
    <w:rPr>
      <w:rFonts w:ascii="Calibri" w:hAnsi="Calibri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lineRule="auto" w:line="276" w:before="0" w:after="100"/>
      <w:ind w:start="1760"/>
    </w:pPr>
    <w:rPr>
      <w:rFonts w:ascii="Calibri" w:hAnsi="Calibri"/>
      <w:sz w:val="22"/>
      <w:szCs w:val="22"/>
      <w:lang w:val="en-US"/>
    </w:rPr>
  </w:style>
  <w:style w:type="paragraph" w:styleId="Style153" w:customStyle="1">
    <w:name w:val="Style153"/>
    <w:basedOn w:val="Normal"/>
    <w:uiPriority w:val="99"/>
    <w:qFormat/>
    <w:rsid w:val="00a20acf"/>
    <w:pPr>
      <w:widowControl w:val="false"/>
      <w:spacing w:lineRule="exact" w:line="317"/>
      <w:jc w:val="both"/>
    </w:pPr>
    <w:rPr>
      <w:lang w:eastAsia="ro-RO"/>
    </w:rPr>
  </w:style>
  <w:style w:type="paragraph" w:styleId="Style73" w:customStyle="1">
    <w:name w:val="Style73"/>
    <w:basedOn w:val="Normal"/>
    <w:uiPriority w:val="99"/>
    <w:qFormat/>
    <w:rsid w:val="00a20acf"/>
    <w:pPr>
      <w:widowControl w:val="false"/>
      <w:spacing w:lineRule="exact" w:line="314"/>
      <w:jc w:val="both"/>
    </w:pPr>
    <w:rPr>
      <w:lang w:eastAsia="ro-RO"/>
    </w:rPr>
  </w:style>
  <w:style w:type="paragraph" w:styleId="HTMLPreformatted">
    <w:name w:val="HTML Preformatted"/>
    <w:basedOn w:val="Normal"/>
    <w:link w:val="HTML"/>
    <w:uiPriority w:val="99"/>
    <w:semiHidden/>
    <w:unhideWhenUsed/>
    <w:qFormat/>
    <w:rsid w:val="00a20acf"/>
    <w:pPr/>
    <w:rPr>
      <w:rFonts w:ascii="Consolas" w:hAnsi="Consolas"/>
      <w:sz w:val="20"/>
      <w:szCs w:val="20"/>
    </w:rPr>
  </w:style>
  <w:style w:type="paragraph" w:styleId="Revision">
    <w:name w:val="Revision"/>
    <w:uiPriority w:val="99"/>
    <w:semiHidden/>
    <w:qFormat/>
    <w:rsid w:val="003d58b1"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o-RO" w:eastAsia="en-US" w:bidi="ar-SA"/>
    </w:rPr>
  </w:style>
  <w:style w:type="paragraph" w:styleId="nt" w:customStyle="1">
    <w:name w:val="nt"/>
    <w:basedOn w:val="Normal"/>
    <w:qFormat/>
    <w:rsid w:val="00f366c7"/>
    <w:pPr>
      <w:ind w:hanging="567" w:start="567" w:end="567"/>
      <w:jc w:val="both"/>
    </w:pPr>
    <w:rPr>
      <w:rFonts w:eastAsia="" w:eastAsiaTheme="minorEastAsia"/>
      <w:i/>
      <w:iCs/>
      <w:color w:val="663300"/>
      <w:sz w:val="20"/>
      <w:szCs w:val="20"/>
      <w:lang w:val="ru-RU" w:eastAsia="ru-RU"/>
    </w:rPr>
  </w:style>
  <w:style w:type="paragraph" w:styleId="DefaultText" w:customStyle="1">
    <w:name w:val="Default Text"/>
    <w:basedOn w:val="Normal"/>
    <w:link w:val="DefaultTextChar"/>
    <w:uiPriority w:val="99"/>
    <w:qFormat/>
    <w:rsid w:val="006a6fda"/>
    <w:pPr/>
    <w:rPr>
      <w:szCs w:val="20"/>
      <w:lang w:val="en-US"/>
    </w:rPr>
  </w:style>
  <w:style w:type="numbering" w:styleId="Style21" w:customStyle="1">
    <w:name w:val="Без списка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6">
    <w:name w:val="Table Grid"/>
    <w:basedOn w:val="a2"/>
    <w:uiPriority w:val="39"/>
    <w:rsid w:val="00a20acf"/>
    <w:rPr>
      <w:sz w:val="20"/>
      <w:szCs w:val="20"/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1">
    <w:name w:val="Griglia tabella1"/>
    <w:basedOn w:val="a2"/>
    <w:uiPriority w:val="39"/>
    <w:rsid w:val="00615e4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uiPriority w:val="39"/>
    <w:rsid w:val="00be362c"/>
    <w:rPr>
      <w:lang w:val="ro-RO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uiPriority w:val="39"/>
    <w:rsid w:val="009d62f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uiPriority w:val="39"/>
    <w:rsid w:val="009d62ff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uiPriority w:val="39"/>
    <w:rsid w:val="00130a4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dtm_sis@sis.md" TargetMode="Externa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CD289-6F92-4576-BEB6-71DF92B7A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LibreOffice/26.2.3.2$Windows_X86_64 LibreOffice_project/70e089b17412e4cb7773e41413306b17a2328c34</Application>
  <AppVersion>15.0000</AppVersion>
  <Pages>5</Pages>
  <Words>1557</Words>
  <Characters>9743</Characters>
  <CharactersWithSpaces>11097</CharactersWithSpaces>
  <Paragraphs>185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2026-05-15T08:36:00Z</dcterms:created>
  <dc:creator>student001 student001</dc:creator>
  <dc:description/>
  <dc:language>ro-RO</dc:language>
  <cp:lastModifiedBy/>
  <cp:lastPrinted>2024-03-01T07:02:00Z</cp:lastPrinted>
  <dcterms:modified xsi:type="dcterms:W3CDTF">2026-05-18T11:46:43Z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cationDate">
    <vt:lpwstr>1675166374</vt:lpwstr>
  </property>
  <property fmtid="{D5CDD505-2E9C-101B-9397-08002B2CF9AE}" pid="4" name="DLPManualFileClassificationLastModifiedBy">
    <vt:lpwstr>LOCAL\UngureanuA</vt:lpwstr>
  </property>
  <property fmtid="{D5CDD505-2E9C-101B-9397-08002B2CF9AE}" pid="5" name="DLPManualFileClassificationVersion">
    <vt:lpwstr>11.0.0.116</vt:lpwstr>
  </property>
</Properties>
</file>