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specificați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10.02.2026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Țevi din oțel, coturi din oțel și articole conexe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Țevi din oțel pre-izolate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Țeavă de oțel 108x5/200-PUR-PE,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Țeavă de oțel 108x5/200-PUR-PE cu fir de semnalizare*. Oțel marca P265GH conform SM EN 10028-2, electrosudată longitudinal conform SM EN 10217-2, pentru presiune de lucru până la 2,5 MPa și temperatură maximă a agentului termic de 120℃. Izolația conform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FF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nr. 5) a bunului solicitat. Totodată, în coloana dată vor fi reflectate elementele ce țin de: 1) </w:t>
            </w:r>
            <w:r>
              <w:rPr>
                <w:rFonts w:hint="default" w:ascii="Times New Roman" w:hAnsi="Times New Roman"/>
                <w:color w:val="0000FF"/>
                <w:vertAlign w:val="baseline"/>
              </w:rPr>
              <w:t>garnitura (kit-ul) produsului; 2) durata de funcționare (exploatare); 3) termenul de garanție oferit de către producător/ vânzător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 textul dat se va șterge (este doar spre informarea 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219x6/315-PUR-PE,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219x6/315-PUR-PE cu fir de semnalizare*. Oțel marca P265GH conform SM EN 10028-2, electrosudată longitudinal conform SM EN 10217-2, pentru presiune de lucru până la 2,5 MPa și temperatură maximă a agentului termic de 120℃. Izolația conform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426x9/560-PUR-PE,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426x9/560-PUR-PE cu fir de semnalizare*. Oțel marca P265GH conform SM EN 10028-2, electrosudată longitudinal conform SM EN 10217-2, pentru presiune de lucru până la 2,5 MPa și temperatură maximă a agentului termic de 120℃. Izolația conform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530x9/710-PUR-PE,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530x9/710-PUR-PE cu fir de semnalizare*. Oțel marca P265GH conform SM EN 10028-2, electrosudată longitudinal conform SM EN 10217-2, pentru presiune de lucru până la 2,5 MPa și temperatură maximă a agentului termic de 120℃. Izolația conform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108x6-90/200-PUR-PE, oțel P265GH, tip 2D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108x6-90/200-PUR-PE conform SM ISO 3419:2017, cu fir de semnalizare*. Oțel marca P265GH conform SM EN 10028-2. Cot de tip 2D (R≈DN), sudabil cap la cap, pentru presiune de lucru până la 2,5 MPa și temperatură maximă a agentului termic de 120℃. Unghi de 90 grade. Izolația conform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de oțel 219x7-90/315-PUR-PE,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219x7-90/315-PUR-PE conform SM ISO 3419:2017, cu fir de semnalizare*. Oțel marca P265GH conform SM EN 10028-2. Cot de tip 2D (R≈DN), sudabil cap la cap, pentru presiune de lucru până la 2,5 MPa și temperatură maximă a agentului termic de 120℃. Unghi de 90 grade. Izolația conform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426x9-90/560-PUR-PE, oțel P265GH, tip 2D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426x9-90/560-PUR-PE conform SM ISO 3419:2017, cu fir de semnalizare*. Oțel marca P265GH conform SM EN 10028-2. Cot de tip 2D (R≈DN), sudabil cap la cap, pentru presiune de lucru până la 2,5 MPa și temperatură maximă a agentului termic de 120℃. Unghi de 90 grade. Izolația conform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530x10-90/710-PUR-PE, oțel P265GH, tip 2D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530x10-90/710-PUR-PE conform SM ISO 3419:2017, cu fir de semnalizare*. Oțel marca P265GH conform SM EN 10028-2. Cot de tip 2D (R≈DN), sudabil cap la cap, pentru presiune de lucru până la 2,5 MPa și temperatură maximă a agentului termic de 120℃. Unghi de 90 grade. Izolația conform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200mm, cu set etanșare, componente și materiale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cu diametrul de 200mm cu set etanșare, componente și materiale pentru montarea sistemului de control și monitorizare la distanță a stării conductelor (sistemului de detectare a scurgerilor la îmbinările țevilor, СДКМ)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315mm, cu set etanșare, componente și materiale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cu diametrul de 315mm, cu set de etanșare, componente și materiale pentru montarea sistemului de control și monitorizare la distanță a stării conductelor (sistemului de detectare a scurgerilor la îmbinările țevilor, СДКМ)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560mm, cu set etanșare, componente și materiale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cu diametrul de 560mm, cu set de etanșare, componente și materiale pentru montarea sistemului de control și monitorizare la distanță a stării conductelor (sistemului de detectare a scurgerilor la îmbinările țevilor, СДКМ)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710mm, cu set de etanșare, componente și materiale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cu diametrul de 710mm, cu set de etanșare, componente și materiale pentru montarea sistemului de control și monitorizare la distanță a stării conductelor (sistemului de detectare a scurgerilor la îmbinările țevilor, СДКМ)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Componente și materiale pentru montarea sistemului de control și monitorizare la distanță a stării conductelor PI 710-PUR-PE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Componente și materiale pentru montarea sistemului de control și monitorizare la distanță a stării conductelor PI 710-PUR-PE (altfel spus, a sistemului de detectare a scurgerilor la îmbinările țevilor - СДКМ). Setul include: 1) fetru (фетр) - pentru izolarea conductoarelor; 2) conectori pentru fire electrice de cupru (соединители медных электрических проводов) - pentru conexini electrice sigure; 3) suport pentru fire electrice (держатель проводов) - asigură fixarea sigură în interiorul îmbinării; 4) material de lipit - sârmă (припой - проволока); 5) mastic de lipit (паяльная мастика) - asigură o lipire eficientă și durabilă; 6) fire electrice (медные провода) cu secțiunea de minim 1,5 mm2, cu izolație rezistentă la temperaturi ridicate; 7) bandă adezivă din hârtie (бумажная клейкая лента) - utilizată la fixarea temporară a componentelor în timpul montajului. Toate componentele trebuie să fie compatibile cu sistemele detecție utilizate la țevile pre-izolate, în conformitate cu SM EN 253.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108x5/200-PUR-PE,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pre-izolat 108x5/200-PUR-PE cu fir de semnalizare*, din oțel marca P265GH conform SM EN 10028-2. În corespundere cu cerințele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219x6/315-PUR-PE,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pre-izolat 219x6/315-PUR-PE cu fir de semnalizare*, din oțel marca P265GH conform SM EN 10028-2. În corespundere cu cerințele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426x9/560-PUR-PE,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pre-izolat 426x9/560-PUR-PE cu fir de semnalizare*, din oțel marca P265GH conform SM EN 10028-2. În corespundere cu cerințele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530x10/710-PUR-PE,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pre-izolat 530x10/710-PUR-PE cu fir de semnalizare*, din oțel marca P265GH conform SM EN 10028-2. În corespundere cu cerințele SM EN 448.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200-PUR-PE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pre-izolate 108/200-PUR-PE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315-PUR-PE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pre-izolate 219/315-PUR-PE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560-PUR-PE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pre-izolate 426/560-PUR-PE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710-PUR-PE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pre-izolate 530/710-PUR-PE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200-PUR-PE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pre-izolate 200-PUR-PE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315-PUR-PE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pre-izolate 315-PUR-PE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560-PUR-PE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pre-izolate 560-PUR-PE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710-PUR-PE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pre-izolate 710-PUR-PE - în corespundere cu cerințele SM EN 253. Tipul izolației: poliuretan (PUR), manta din polietilenă (PE).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2.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Țevi din oțel neizolate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25x2,8mm,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25x2,8mm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32x2,8mm,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32x2,8mm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48x3,0mm,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48x3,0mm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57x4mm,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57x4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76x4mm,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76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89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89x4,0mm, electrosudată,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cu diametrul exterior de 89 mm și grosimea pereților de 4,0 mm, în conformitate cu GOST 10704 și GOST 10706. Material - oțel de calitate 20 (Ст20) conform GOST 1050 (în concordanță cu NRS 35-03-59:2003, Anexa F). Lungimea țevii trebuie să fie de 10-12 metri, nemăsurată (немерная длина). Limitarea abaterilor pentru diametrul exterior și grosimea peretelui țevii conform GOST 10704. Capetele țevilor trebuie tăiate sub unghi drept.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89x4,0mm, din oțel marca P265GH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108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marca Ст3сп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cu diametrul exterior de 108 mm și grosimea pereților de 5,0 mm, în conformitate cu GOST 10704 și GOST 10706. Material - oțel marca Ст3сп conform GOST 380. Lungimea țevii trebuie să fie între 6-9 metri, nemăsurată (немерная длина). Limitarea abaterilor pentru diametrul exterior și grosimea peretelui țevii conform GOST 10704. Capetele țevilor trebuie tăiate sub unghi drept.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219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6,0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273x7mm,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273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7,0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325x8mm,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325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8,0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426x9,0mm. Oțel marca P265GH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530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9,0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38x3,5mm,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fără sudură (fără cusătură sudată), cu diametrul nominal (la exterior) de 38 mm și grosimea pereților de 3,5 mm conform GOST 8733 (группа В). Marca materialului - oțel 20 (Сталь 20) conform GOST 1050 (în concordanță cu NRS 35-03-59:2003, Anexa F). Lungimea țevilor - nu mai puțin de 9 metri. Limita abaterilor în ceea ce privește diametrul exterior și grosimea pereților țevii - conform prevederilor GOST 8734. Capetele țevilor trebuie să fie tăiate sub unghi drept.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deformată (trasă) la cald, conform GOST 8732-78. Marca materialului - oțel 20 (Сталь 20) conform GOST 1050. Lungimea țevii livrate va fi de 6,0 metri.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108x4,0mm, din oțel marca P235TR2 conform SM SR EN 10220, SM EN 10216-1.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deformată (trasă) la cald, conform GOST 8732-78. Marca materialului - oțel 20 (Сталь 20) conform GOST 1050. Lungimea țevii livrate va fi de 6,0 metri.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133x4,0mm, din oțel marca P235TR2 conform SM SR EN 10220, SM EN 10216-1.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325x8,0 conform SM ISO 3419:2017. Oțel marca P265GH conform SM EN 10028-2. Cot de tip 2D (rază de curbură R=DN),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325x8mm-219x7mm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 - 219x7mm cu lungimea de 220mm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426x12mm-273x10mm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 - 273x10mm cu lungimea de 220mm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530x12mm-426x10mm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 - 426x10mm cu lungimea de 300mm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specificați 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10.02.2026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Țevi din oțel, coturi din oțel și articole conexe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Țevi din oțel pre-izolate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Țeavă de oțel 108x5/200-PUR-PE,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m</w:t>
            </w: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144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18"/>
                <w:szCs w:val="18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</w:t>
            </w: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0 (</w:t>
            </w: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șaizeci</w:t>
            </w: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219x6/315-PUR-PE,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468,0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426x9/560-PUR-PE,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144,0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530x9/710-PUR-PE,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144,0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108x6-90/200-PUR-PE, oțel P265GH, tip 2D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de oțel 219x7-90/315-PUR-PE,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426x9-90/560-PUR-PE, oțel P265GH, tip 2D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530x10-90/710-PUR-PE, oțel P265GH, tip 2D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200mm, cu set etanșare, componente și materiale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315mm, cu set etanșare, componente și materiale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560mm, cu set etanșare, componente și materiale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Mufă de tras pe tub cu manta din PE 710mm, cu set de etanșare, componente și materiale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Componente și materiale pentru montarea sistemului de control și monitorizare la distanță a stării conductelor PI 710-PUR-PE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set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108x5/200-PUR-PE,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219x6/315-PUR-PE,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426x9/560-PUR-PE,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fix PI 530x10/710-PUR-PE,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200-PUR-PE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315-PUR-PE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560-PUR-PE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Manșon de capăt pentru țevi de oțel PI 710-PUR-PE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200-PUR-PE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315-PUR-PE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560-PUR-PE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Suport mobil pentru țevi PI 710-PUR-PE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u-RU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nr.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2.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Țevi din oțel neizolate și articole conexe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25x2,8mm,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32x2,8mm,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48x3,0mm,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57x4mm,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408,0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76x4mm,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89x4,0mm, electrosudată,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marca Ст3сп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80,0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273x7mm,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325x8mm,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38x3,5mm,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t.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325x8mm-219x7mm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426x12mm-273x10mm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-426x10mm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nr. 2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27F314B"/>
    <w:multiLevelType w:val="singleLevel"/>
    <w:tmpl w:val="927F314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25C9E4AE"/>
    <w:multiLevelType w:val="singleLevel"/>
    <w:tmpl w:val="25C9E4A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47153B"/>
    <w:rsid w:val="0160637B"/>
    <w:rsid w:val="020261F8"/>
    <w:rsid w:val="02462A4F"/>
    <w:rsid w:val="02A756F6"/>
    <w:rsid w:val="03057D24"/>
    <w:rsid w:val="03127C01"/>
    <w:rsid w:val="035D4591"/>
    <w:rsid w:val="038041DD"/>
    <w:rsid w:val="03962305"/>
    <w:rsid w:val="03F40417"/>
    <w:rsid w:val="04AF3F3E"/>
    <w:rsid w:val="04B14ABD"/>
    <w:rsid w:val="04EF43C3"/>
    <w:rsid w:val="04FA0515"/>
    <w:rsid w:val="05045994"/>
    <w:rsid w:val="058E399B"/>
    <w:rsid w:val="06A30084"/>
    <w:rsid w:val="06E361CF"/>
    <w:rsid w:val="074C2609"/>
    <w:rsid w:val="075B04E7"/>
    <w:rsid w:val="0856189A"/>
    <w:rsid w:val="08660D9D"/>
    <w:rsid w:val="08AB7917"/>
    <w:rsid w:val="08B63C58"/>
    <w:rsid w:val="08E32BEA"/>
    <w:rsid w:val="095835E2"/>
    <w:rsid w:val="09EC2E51"/>
    <w:rsid w:val="0A1F41F1"/>
    <w:rsid w:val="0AB31D6E"/>
    <w:rsid w:val="0AEC39F9"/>
    <w:rsid w:val="0BAA5EE2"/>
    <w:rsid w:val="0BFB662F"/>
    <w:rsid w:val="0C722C9C"/>
    <w:rsid w:val="0CE06DF7"/>
    <w:rsid w:val="0D26085E"/>
    <w:rsid w:val="0D34791F"/>
    <w:rsid w:val="0D6077AD"/>
    <w:rsid w:val="0D7F51EF"/>
    <w:rsid w:val="0DE66214"/>
    <w:rsid w:val="0DFA0062"/>
    <w:rsid w:val="0EA22E69"/>
    <w:rsid w:val="0FD72B12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783188"/>
    <w:rsid w:val="14867D65"/>
    <w:rsid w:val="148C1946"/>
    <w:rsid w:val="149C2A0B"/>
    <w:rsid w:val="14C31A74"/>
    <w:rsid w:val="14F133ED"/>
    <w:rsid w:val="15433EAE"/>
    <w:rsid w:val="15CF515F"/>
    <w:rsid w:val="15EE00B6"/>
    <w:rsid w:val="16176152"/>
    <w:rsid w:val="16690ECB"/>
    <w:rsid w:val="166B683B"/>
    <w:rsid w:val="16E8230B"/>
    <w:rsid w:val="17841624"/>
    <w:rsid w:val="17DE743B"/>
    <w:rsid w:val="17E470BF"/>
    <w:rsid w:val="17FF7745"/>
    <w:rsid w:val="18294330"/>
    <w:rsid w:val="19050E57"/>
    <w:rsid w:val="192C06DB"/>
    <w:rsid w:val="1A096D87"/>
    <w:rsid w:val="1A235F91"/>
    <w:rsid w:val="1A8B564F"/>
    <w:rsid w:val="1AA324CC"/>
    <w:rsid w:val="1ABB391B"/>
    <w:rsid w:val="1AC106C5"/>
    <w:rsid w:val="1AEB276C"/>
    <w:rsid w:val="1AF423FA"/>
    <w:rsid w:val="1B0A44F5"/>
    <w:rsid w:val="1B717BA4"/>
    <w:rsid w:val="1BCF2EAD"/>
    <w:rsid w:val="1BF974FC"/>
    <w:rsid w:val="1C193A9D"/>
    <w:rsid w:val="1C1C6023"/>
    <w:rsid w:val="1C213D1F"/>
    <w:rsid w:val="1C4A0392"/>
    <w:rsid w:val="1C8708F3"/>
    <w:rsid w:val="1CAF2C3E"/>
    <w:rsid w:val="1CBA6523"/>
    <w:rsid w:val="1CD35F20"/>
    <w:rsid w:val="1D1F7306"/>
    <w:rsid w:val="1DB03E28"/>
    <w:rsid w:val="1DBC67A0"/>
    <w:rsid w:val="1E0604C2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065633E"/>
    <w:rsid w:val="2114738E"/>
    <w:rsid w:val="21A621B6"/>
    <w:rsid w:val="21BC67F2"/>
    <w:rsid w:val="223613C5"/>
    <w:rsid w:val="22575BBF"/>
    <w:rsid w:val="229C02F2"/>
    <w:rsid w:val="22F10206"/>
    <w:rsid w:val="233D0DFF"/>
    <w:rsid w:val="236E0643"/>
    <w:rsid w:val="238734D8"/>
    <w:rsid w:val="23CD4044"/>
    <w:rsid w:val="24307789"/>
    <w:rsid w:val="244417EA"/>
    <w:rsid w:val="244E0A02"/>
    <w:rsid w:val="24734590"/>
    <w:rsid w:val="24CC4FDE"/>
    <w:rsid w:val="24ED7C15"/>
    <w:rsid w:val="25415D2D"/>
    <w:rsid w:val="25917193"/>
    <w:rsid w:val="259D1413"/>
    <w:rsid w:val="25E8259B"/>
    <w:rsid w:val="2695315B"/>
    <w:rsid w:val="26957341"/>
    <w:rsid w:val="26F07AEA"/>
    <w:rsid w:val="274043A6"/>
    <w:rsid w:val="27F66EE0"/>
    <w:rsid w:val="28487711"/>
    <w:rsid w:val="28921BC8"/>
    <w:rsid w:val="28DE416E"/>
    <w:rsid w:val="28F306BC"/>
    <w:rsid w:val="292F2A9F"/>
    <w:rsid w:val="295419DA"/>
    <w:rsid w:val="29C56816"/>
    <w:rsid w:val="2A107102"/>
    <w:rsid w:val="2A41096D"/>
    <w:rsid w:val="2A6F0DE3"/>
    <w:rsid w:val="2AE62756"/>
    <w:rsid w:val="2B2341D4"/>
    <w:rsid w:val="2B2B15E0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3918C8"/>
    <w:rsid w:val="2F5A4E26"/>
    <w:rsid w:val="2FAB6462"/>
    <w:rsid w:val="2FB84BD7"/>
    <w:rsid w:val="3034171D"/>
    <w:rsid w:val="30976DA2"/>
    <w:rsid w:val="3098299F"/>
    <w:rsid w:val="30983C2F"/>
    <w:rsid w:val="30DF4C88"/>
    <w:rsid w:val="312476AC"/>
    <w:rsid w:val="319934B1"/>
    <w:rsid w:val="32117518"/>
    <w:rsid w:val="32A40826"/>
    <w:rsid w:val="32DB0B8E"/>
    <w:rsid w:val="33164C7B"/>
    <w:rsid w:val="33A96A3E"/>
    <w:rsid w:val="343E58D0"/>
    <w:rsid w:val="3453761A"/>
    <w:rsid w:val="34D058C0"/>
    <w:rsid w:val="34D348B8"/>
    <w:rsid w:val="35B4714A"/>
    <w:rsid w:val="36202A8B"/>
    <w:rsid w:val="36390500"/>
    <w:rsid w:val="371C5779"/>
    <w:rsid w:val="374239A8"/>
    <w:rsid w:val="379445C9"/>
    <w:rsid w:val="37C7238E"/>
    <w:rsid w:val="38070BF9"/>
    <w:rsid w:val="38251BCB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3025F0"/>
    <w:rsid w:val="3C6D2133"/>
    <w:rsid w:val="3C7030B7"/>
    <w:rsid w:val="3CD15AA7"/>
    <w:rsid w:val="3CEE333F"/>
    <w:rsid w:val="3D7F5473"/>
    <w:rsid w:val="3D98229D"/>
    <w:rsid w:val="3DF53D49"/>
    <w:rsid w:val="3DF60935"/>
    <w:rsid w:val="3DFF4976"/>
    <w:rsid w:val="3E274987"/>
    <w:rsid w:val="3E324F16"/>
    <w:rsid w:val="3E6B550E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4D2252F"/>
    <w:rsid w:val="4582269B"/>
    <w:rsid w:val="458B32BF"/>
    <w:rsid w:val="45A72013"/>
    <w:rsid w:val="45ED64C7"/>
    <w:rsid w:val="461846CD"/>
    <w:rsid w:val="4669356C"/>
    <w:rsid w:val="4675774D"/>
    <w:rsid w:val="46C95B1B"/>
    <w:rsid w:val="47A07192"/>
    <w:rsid w:val="47BB545D"/>
    <w:rsid w:val="47E732D5"/>
    <w:rsid w:val="48686BDB"/>
    <w:rsid w:val="48783ACD"/>
    <w:rsid w:val="48927A1F"/>
    <w:rsid w:val="48E95E16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C084437"/>
    <w:rsid w:val="4C6C31D0"/>
    <w:rsid w:val="4CBE1EFE"/>
    <w:rsid w:val="4D0549EA"/>
    <w:rsid w:val="4D4E2860"/>
    <w:rsid w:val="4E1B06BB"/>
    <w:rsid w:val="4EA35EC7"/>
    <w:rsid w:val="4F6D14D3"/>
    <w:rsid w:val="50083210"/>
    <w:rsid w:val="503179CC"/>
    <w:rsid w:val="505066D1"/>
    <w:rsid w:val="505A30FE"/>
    <w:rsid w:val="515D3A2F"/>
    <w:rsid w:val="51816D85"/>
    <w:rsid w:val="51FD0610"/>
    <w:rsid w:val="53380017"/>
    <w:rsid w:val="533D68E5"/>
    <w:rsid w:val="537E6888"/>
    <w:rsid w:val="53DE3D69"/>
    <w:rsid w:val="540839FD"/>
    <w:rsid w:val="5443769F"/>
    <w:rsid w:val="544F4A67"/>
    <w:rsid w:val="554C7D7D"/>
    <w:rsid w:val="55776205"/>
    <w:rsid w:val="55AC5AD2"/>
    <w:rsid w:val="55B71BC6"/>
    <w:rsid w:val="56773FF1"/>
    <w:rsid w:val="56FA0D19"/>
    <w:rsid w:val="56FE6A8B"/>
    <w:rsid w:val="57686C8A"/>
    <w:rsid w:val="577F10CA"/>
    <w:rsid w:val="578F06BB"/>
    <w:rsid w:val="579F77F4"/>
    <w:rsid w:val="58510B4E"/>
    <w:rsid w:val="586B2A94"/>
    <w:rsid w:val="58D6288E"/>
    <w:rsid w:val="59051627"/>
    <w:rsid w:val="59784FE2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54F06"/>
    <w:rsid w:val="610A2A1F"/>
    <w:rsid w:val="61D80EC5"/>
    <w:rsid w:val="630F7A14"/>
    <w:rsid w:val="632520E6"/>
    <w:rsid w:val="63414F5F"/>
    <w:rsid w:val="647C0C01"/>
    <w:rsid w:val="654E43BA"/>
    <w:rsid w:val="655E1B91"/>
    <w:rsid w:val="674B093A"/>
    <w:rsid w:val="67F81C99"/>
    <w:rsid w:val="681B32D5"/>
    <w:rsid w:val="688E4077"/>
    <w:rsid w:val="68976726"/>
    <w:rsid w:val="68E57E27"/>
    <w:rsid w:val="68ED7DC4"/>
    <w:rsid w:val="68F7247B"/>
    <w:rsid w:val="6920240C"/>
    <w:rsid w:val="69950310"/>
    <w:rsid w:val="69AC0C58"/>
    <w:rsid w:val="69F875E7"/>
    <w:rsid w:val="6AF75CE4"/>
    <w:rsid w:val="6B52785D"/>
    <w:rsid w:val="6B67048D"/>
    <w:rsid w:val="6B89226B"/>
    <w:rsid w:val="6BAF473A"/>
    <w:rsid w:val="6BC35925"/>
    <w:rsid w:val="6CFC59D4"/>
    <w:rsid w:val="6D423382"/>
    <w:rsid w:val="6DE34AE4"/>
    <w:rsid w:val="6E3C219F"/>
    <w:rsid w:val="6E816C21"/>
    <w:rsid w:val="6F4938C2"/>
    <w:rsid w:val="6F6C0CDE"/>
    <w:rsid w:val="6F935C45"/>
    <w:rsid w:val="6FD10864"/>
    <w:rsid w:val="6FD3369D"/>
    <w:rsid w:val="70022762"/>
    <w:rsid w:val="7020227D"/>
    <w:rsid w:val="70515D4C"/>
    <w:rsid w:val="70A67124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6A433F"/>
    <w:rsid w:val="7477213F"/>
    <w:rsid w:val="74BD341A"/>
    <w:rsid w:val="74CB2F3E"/>
    <w:rsid w:val="74D74BBC"/>
    <w:rsid w:val="752B5C2B"/>
    <w:rsid w:val="75662603"/>
    <w:rsid w:val="75B72E5F"/>
    <w:rsid w:val="75CD2DB2"/>
    <w:rsid w:val="75E33D48"/>
    <w:rsid w:val="768F6393"/>
    <w:rsid w:val="76A872AD"/>
    <w:rsid w:val="77505954"/>
    <w:rsid w:val="77F47144"/>
    <w:rsid w:val="780D04DE"/>
    <w:rsid w:val="7820118F"/>
    <w:rsid w:val="78667397"/>
    <w:rsid w:val="78884D65"/>
    <w:rsid w:val="78925C5D"/>
    <w:rsid w:val="78A26F7E"/>
    <w:rsid w:val="78F86B66"/>
    <w:rsid w:val="792A06CF"/>
    <w:rsid w:val="79CE426D"/>
    <w:rsid w:val="7A5B4DD2"/>
    <w:rsid w:val="7AE377C7"/>
    <w:rsid w:val="7B0B2BDE"/>
    <w:rsid w:val="7B6B5529"/>
    <w:rsid w:val="7B974C50"/>
    <w:rsid w:val="7BF628C7"/>
    <w:rsid w:val="7C4F1F14"/>
    <w:rsid w:val="7CE15E86"/>
    <w:rsid w:val="7E0B0AB2"/>
    <w:rsid w:val="7E354C7E"/>
    <w:rsid w:val="7E7365A2"/>
    <w:rsid w:val="7E806AE6"/>
    <w:rsid w:val="7E972490"/>
    <w:rsid w:val="7F9C080C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2026-02-10T08:38:23Z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