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68" w:rsidRPr="00720D04" w:rsidRDefault="00913D68" w:rsidP="00722698">
      <w:pPr>
        <w:pStyle w:val="a3"/>
        <w:rPr>
          <w:bCs/>
          <w:sz w:val="24"/>
          <w:szCs w:val="24"/>
        </w:rPr>
      </w:pPr>
    </w:p>
    <w:p w:rsidR="00913D68" w:rsidRPr="00720D04" w:rsidRDefault="00913D68" w:rsidP="00722698">
      <w:pPr>
        <w:pStyle w:val="a3"/>
        <w:jc w:val="center"/>
        <w:rPr>
          <w:b/>
          <w:bCs/>
          <w:sz w:val="24"/>
          <w:szCs w:val="24"/>
        </w:rPr>
      </w:pPr>
      <w:r w:rsidRPr="00720D04">
        <w:rPr>
          <w:b/>
          <w:bCs/>
          <w:sz w:val="24"/>
          <w:szCs w:val="24"/>
        </w:rPr>
        <w:t>CAIET DE SARCINI</w:t>
      </w:r>
    </w:p>
    <w:p w:rsidR="00913D68" w:rsidRPr="00720D04" w:rsidRDefault="00913D68" w:rsidP="00722698">
      <w:pPr>
        <w:pStyle w:val="a3"/>
        <w:jc w:val="center"/>
        <w:rPr>
          <w:bCs/>
          <w:sz w:val="24"/>
          <w:szCs w:val="24"/>
        </w:rPr>
      </w:pPr>
      <w:r w:rsidRPr="00720D04">
        <w:rPr>
          <w:bCs/>
          <w:sz w:val="24"/>
          <w:szCs w:val="24"/>
        </w:rPr>
        <w:t>privind</w:t>
      </w:r>
      <w:r w:rsidR="006D4D26" w:rsidRPr="00720D04">
        <w:rPr>
          <w:bCs/>
          <w:sz w:val="24"/>
          <w:szCs w:val="24"/>
        </w:rPr>
        <w:t xml:space="preserve"> achiziționarea </w:t>
      </w:r>
      <w:r w:rsidR="00873AA5">
        <w:rPr>
          <w:bCs/>
          <w:sz w:val="24"/>
          <w:szCs w:val="24"/>
        </w:rPr>
        <w:t xml:space="preserve">mijloacelor speciale de protecție </w:t>
      </w:r>
      <w:r w:rsidR="003B027E">
        <w:rPr>
          <w:bCs/>
          <w:sz w:val="24"/>
          <w:szCs w:val="24"/>
        </w:rPr>
        <w:t xml:space="preserve">– </w:t>
      </w:r>
      <w:r w:rsidR="003B027E" w:rsidRPr="003B027E">
        <w:rPr>
          <w:b/>
          <w:bCs/>
          <w:sz w:val="24"/>
          <w:szCs w:val="24"/>
        </w:rPr>
        <w:t>Vestă reflectorizantă</w:t>
      </w:r>
    </w:p>
    <w:p w:rsidR="00913D68" w:rsidRPr="00720D04" w:rsidRDefault="00913D68" w:rsidP="00722698">
      <w:pPr>
        <w:pStyle w:val="a3"/>
        <w:jc w:val="center"/>
        <w:rPr>
          <w:bCs/>
          <w:sz w:val="24"/>
          <w:szCs w:val="24"/>
        </w:rPr>
      </w:pPr>
    </w:p>
    <w:tbl>
      <w:tblPr>
        <w:tblStyle w:val="a7"/>
        <w:tblW w:w="14949" w:type="dxa"/>
        <w:jc w:val="center"/>
        <w:tblInd w:w="-213" w:type="dxa"/>
        <w:tblLayout w:type="fixed"/>
        <w:tblLook w:val="04A0" w:firstRow="1" w:lastRow="0" w:firstColumn="1" w:lastColumn="0" w:noHBand="0" w:noVBand="1"/>
      </w:tblPr>
      <w:tblGrid>
        <w:gridCol w:w="671"/>
        <w:gridCol w:w="1843"/>
        <w:gridCol w:w="1351"/>
        <w:gridCol w:w="9705"/>
        <w:gridCol w:w="1379"/>
      </w:tblGrid>
      <w:tr w:rsidR="003B027E" w:rsidRPr="00395E39" w:rsidTr="003B027E">
        <w:trPr>
          <w:trHeight w:val="734"/>
          <w:jc w:val="center"/>
        </w:trPr>
        <w:tc>
          <w:tcPr>
            <w:tcW w:w="671" w:type="dxa"/>
            <w:vAlign w:val="center"/>
          </w:tcPr>
          <w:p w:rsidR="003B027E" w:rsidRPr="003B027E" w:rsidRDefault="003B027E" w:rsidP="00722698">
            <w:pPr>
              <w:spacing w:after="0"/>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Nr. d/o</w:t>
            </w:r>
          </w:p>
        </w:tc>
        <w:tc>
          <w:tcPr>
            <w:tcW w:w="1843" w:type="dxa"/>
            <w:vAlign w:val="center"/>
          </w:tcPr>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Denumirea</w:t>
            </w:r>
          </w:p>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bunurilor materiale</w:t>
            </w:r>
          </w:p>
        </w:tc>
        <w:tc>
          <w:tcPr>
            <w:tcW w:w="1351" w:type="dxa"/>
            <w:vAlign w:val="center"/>
          </w:tcPr>
          <w:p w:rsidR="003B027E" w:rsidRPr="003B027E" w:rsidRDefault="003B027E" w:rsidP="00110299">
            <w:pPr>
              <w:spacing w:after="0" w:line="240" w:lineRule="auto"/>
              <w:ind w:left="-59" w:right="-108"/>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Cantitatea</w:t>
            </w:r>
          </w:p>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(u.m.)</w:t>
            </w:r>
          </w:p>
        </w:tc>
        <w:tc>
          <w:tcPr>
            <w:tcW w:w="9705" w:type="dxa"/>
          </w:tcPr>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Specificații tehnice privind caracteristica</w:t>
            </w:r>
          </w:p>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fizico-mecanică și actul normativ la ţesătură.</w:t>
            </w:r>
          </w:p>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Actul normativ la confecționarea  echipamentului.</w:t>
            </w:r>
          </w:p>
        </w:tc>
        <w:tc>
          <w:tcPr>
            <w:tcW w:w="1379" w:type="dxa"/>
            <w:vAlign w:val="center"/>
          </w:tcPr>
          <w:p w:rsidR="003B027E" w:rsidRPr="003B027E" w:rsidRDefault="003B027E" w:rsidP="00722698">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Termenul</w:t>
            </w:r>
          </w:p>
          <w:p w:rsidR="003B027E" w:rsidRPr="003B027E" w:rsidRDefault="003B027E" w:rsidP="00722698">
            <w:pPr>
              <w:spacing w:after="0" w:line="240" w:lineRule="auto"/>
              <w:jc w:val="center"/>
              <w:rPr>
                <w:rFonts w:ascii="Times New Roman" w:hAnsi="Times New Roman" w:cs="Times New Roman"/>
                <w:sz w:val="24"/>
                <w:szCs w:val="24"/>
                <w:lang w:val="ro-RO"/>
              </w:rPr>
            </w:pPr>
            <w:r w:rsidRPr="003B027E">
              <w:rPr>
                <w:rFonts w:ascii="Times New Roman" w:hAnsi="Times New Roman" w:cs="Times New Roman"/>
                <w:b/>
                <w:sz w:val="24"/>
                <w:szCs w:val="24"/>
                <w:lang w:val="ro-RO"/>
              </w:rPr>
              <w:t>de livrare a mărfii</w:t>
            </w:r>
          </w:p>
        </w:tc>
      </w:tr>
      <w:tr w:rsidR="007B3CCB" w:rsidRPr="003B027E" w:rsidTr="003B027E">
        <w:trPr>
          <w:jc w:val="center"/>
        </w:trPr>
        <w:tc>
          <w:tcPr>
            <w:tcW w:w="14949" w:type="dxa"/>
            <w:gridSpan w:val="5"/>
          </w:tcPr>
          <w:p w:rsidR="007B3CCB" w:rsidRPr="003B027E" w:rsidRDefault="007B3CCB" w:rsidP="007B3CCB">
            <w:pPr>
              <w:spacing w:after="0" w:line="240" w:lineRule="auto"/>
              <w:jc w:val="center"/>
              <w:rPr>
                <w:rFonts w:ascii="Times New Roman" w:hAnsi="Times New Roman" w:cs="Times New Roman"/>
                <w:b/>
                <w:sz w:val="24"/>
                <w:szCs w:val="24"/>
                <w:lang w:val="ro-RO"/>
              </w:rPr>
            </w:pPr>
            <w:r w:rsidRPr="003B027E">
              <w:rPr>
                <w:rFonts w:ascii="Times New Roman" w:hAnsi="Times New Roman" w:cs="Times New Roman"/>
                <w:b/>
                <w:sz w:val="24"/>
                <w:szCs w:val="24"/>
                <w:lang w:val="ro-RO"/>
              </w:rPr>
              <w:t>Lot nr.1</w:t>
            </w:r>
          </w:p>
        </w:tc>
      </w:tr>
      <w:tr w:rsidR="003B027E" w:rsidRPr="003B027E" w:rsidTr="003B027E">
        <w:trPr>
          <w:jc w:val="center"/>
        </w:trPr>
        <w:tc>
          <w:tcPr>
            <w:tcW w:w="671" w:type="dxa"/>
          </w:tcPr>
          <w:p w:rsidR="003B027E" w:rsidRPr="003B027E" w:rsidRDefault="003B027E" w:rsidP="00722698">
            <w:pPr>
              <w:spacing w:after="0" w:line="240" w:lineRule="auto"/>
              <w:rPr>
                <w:rFonts w:ascii="Times New Roman" w:hAnsi="Times New Roman" w:cs="Times New Roman"/>
                <w:sz w:val="24"/>
                <w:szCs w:val="24"/>
                <w:lang w:val="ro-RO"/>
              </w:rPr>
            </w:pPr>
            <w:r w:rsidRPr="003B027E">
              <w:rPr>
                <w:rFonts w:ascii="Times New Roman" w:hAnsi="Times New Roman" w:cs="Times New Roman"/>
                <w:sz w:val="24"/>
                <w:szCs w:val="24"/>
                <w:lang w:val="ro-RO"/>
              </w:rPr>
              <w:t>1.1</w:t>
            </w:r>
          </w:p>
        </w:tc>
        <w:tc>
          <w:tcPr>
            <w:tcW w:w="1843" w:type="dxa"/>
          </w:tcPr>
          <w:p w:rsidR="003B027E" w:rsidRPr="003B027E" w:rsidRDefault="003B027E" w:rsidP="00722698">
            <w:pPr>
              <w:spacing w:after="0" w:line="240" w:lineRule="auto"/>
              <w:rPr>
                <w:rFonts w:ascii="Times New Roman" w:hAnsi="Times New Roman" w:cs="Times New Roman"/>
                <w:b/>
                <w:sz w:val="24"/>
                <w:szCs w:val="24"/>
                <w:lang w:val="ro-RO"/>
              </w:rPr>
            </w:pPr>
            <w:r w:rsidRPr="003B027E">
              <w:rPr>
                <w:rFonts w:ascii="Times New Roman" w:hAnsi="Times New Roman" w:cs="Times New Roman"/>
                <w:b/>
                <w:sz w:val="24"/>
                <w:szCs w:val="24"/>
                <w:lang w:val="ro-RO"/>
              </w:rPr>
              <w:t>Vestă reflectorizantă</w:t>
            </w:r>
          </w:p>
          <w:p w:rsidR="003B027E" w:rsidRPr="003B027E" w:rsidRDefault="003B027E" w:rsidP="00722698">
            <w:pPr>
              <w:spacing w:after="0" w:line="240" w:lineRule="auto"/>
              <w:rPr>
                <w:rFonts w:ascii="Times New Roman" w:hAnsi="Times New Roman" w:cs="Times New Roman"/>
                <w:sz w:val="24"/>
                <w:szCs w:val="24"/>
                <w:lang w:val="ro-RO"/>
              </w:rPr>
            </w:pPr>
          </w:p>
          <w:p w:rsidR="003B027E" w:rsidRPr="003B027E" w:rsidRDefault="003B027E" w:rsidP="00722698">
            <w:pPr>
              <w:spacing w:after="0" w:line="240" w:lineRule="auto"/>
              <w:rPr>
                <w:rFonts w:ascii="Times New Roman" w:hAnsi="Times New Roman" w:cs="Times New Roman"/>
                <w:sz w:val="24"/>
                <w:szCs w:val="24"/>
                <w:lang w:val="ro-RO"/>
              </w:rPr>
            </w:pPr>
          </w:p>
        </w:tc>
        <w:tc>
          <w:tcPr>
            <w:tcW w:w="1351" w:type="dxa"/>
          </w:tcPr>
          <w:p w:rsidR="003B027E" w:rsidRPr="003B027E" w:rsidRDefault="00395E39" w:rsidP="006C675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900</w:t>
            </w:r>
            <w:r w:rsidR="003B027E" w:rsidRPr="003B027E">
              <w:rPr>
                <w:rFonts w:ascii="Times New Roman" w:hAnsi="Times New Roman" w:cs="Times New Roman"/>
                <w:sz w:val="24"/>
                <w:szCs w:val="24"/>
                <w:lang w:val="ro-RO"/>
              </w:rPr>
              <w:t xml:space="preserve"> buc.</w:t>
            </w:r>
          </w:p>
        </w:tc>
        <w:tc>
          <w:tcPr>
            <w:tcW w:w="9705" w:type="dxa"/>
          </w:tcPr>
          <w:p w:rsidR="003B027E" w:rsidRPr="006C4270" w:rsidRDefault="003B027E" w:rsidP="002103FD">
            <w:pPr>
              <w:spacing w:after="0"/>
              <w:ind w:firstLine="33"/>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Vestă de culoare galbenă cu vizibilitate sporita si elemente reflectorizante, de siluetă dreaptă; formată din față, spate și clin lateral.</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Sistemul de închidere este central pe toată lungimea produsului cu fermoar.</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Răscroiala gâtului este adâncită, de tip V.</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Fața produsului este formată din două repere simetrice dublate cu material adeziv (</w:t>
            </w:r>
            <w:proofErr w:type="spellStart"/>
            <w:r w:rsidRPr="006C4270">
              <w:rPr>
                <w:rFonts w:ascii="Times New Roman" w:eastAsia="Calibri" w:hAnsi="Times New Roman" w:cs="Times New Roman"/>
                <w:szCs w:val="24"/>
                <w:lang w:val="ro-MO"/>
              </w:rPr>
              <w:t>flizilin</w:t>
            </w:r>
            <w:proofErr w:type="spellEnd"/>
            <w:r w:rsidRPr="006C4270">
              <w:rPr>
                <w:rFonts w:ascii="Times New Roman" w:eastAsia="Calibri" w:hAnsi="Times New Roman" w:cs="Times New Roman"/>
                <w:szCs w:val="24"/>
                <w:lang w:val="ro-MO"/>
              </w:rPr>
              <w:t>) din linia umărului până la prima banda reflectorizanta (orizon</w:t>
            </w:r>
            <w:bookmarkStart w:id="0" w:name="_GoBack"/>
            <w:bookmarkEnd w:id="0"/>
            <w:r w:rsidRPr="006C4270">
              <w:rPr>
                <w:rFonts w:ascii="Times New Roman" w:eastAsia="Calibri" w:hAnsi="Times New Roman" w:cs="Times New Roman"/>
                <w:szCs w:val="24"/>
                <w:lang w:val="ro-MO"/>
              </w:rPr>
              <w:t xml:space="preserve">tala). </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În zona pieptului din partea dreapta este aplicat un buzunar de tip «burduf» (părțile laterale) cu intrarea în buzunar de sus. Pe buzunar, sub tivul mărginii superioare este aplicată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xml:space="preserve">» </w:t>
            </w:r>
            <w:proofErr w:type="spellStart"/>
            <w:r w:rsidRPr="006C4270">
              <w:rPr>
                <w:rFonts w:ascii="Times New Roman" w:eastAsia="Calibri" w:hAnsi="Times New Roman" w:cs="Times New Roman"/>
                <w:szCs w:val="24"/>
                <w:lang w:val="ro-MO"/>
              </w:rPr>
              <w:t>Loop</w:t>
            </w:r>
            <w:proofErr w:type="spellEnd"/>
            <w:r w:rsidRPr="006C4270">
              <w:rPr>
                <w:rFonts w:ascii="Times New Roman" w:eastAsia="Calibri" w:hAnsi="Times New Roman" w:cs="Times New Roman"/>
                <w:szCs w:val="24"/>
                <w:lang w:val="ro-MO"/>
              </w:rPr>
              <w:t xml:space="preserve"> de 40 mm lățime de culoare neagra. Deasupra buzunarului este aplicată banda textilă de culoare neagra în direcția de-a lungul produsului, unul dintre capetele fiind liber. Pe capătul liber a benzii textile este aplicată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xml:space="preserve">» </w:t>
            </w:r>
            <w:proofErr w:type="spellStart"/>
            <w:r w:rsidRPr="006C4270">
              <w:rPr>
                <w:rFonts w:ascii="Times New Roman" w:eastAsia="Calibri" w:hAnsi="Times New Roman" w:cs="Times New Roman"/>
                <w:szCs w:val="24"/>
                <w:lang w:val="ro-MO"/>
              </w:rPr>
              <w:t>Hook</w:t>
            </w:r>
            <w:proofErr w:type="spellEnd"/>
            <w:r w:rsidRPr="006C4270">
              <w:rPr>
                <w:rFonts w:ascii="Times New Roman" w:eastAsia="Calibri" w:hAnsi="Times New Roman" w:cs="Times New Roman"/>
                <w:szCs w:val="24"/>
                <w:lang w:val="ro-MO"/>
              </w:rPr>
              <w:t>, ceea ce permite închiderea buzunarului. Rezervele inferioare a buzunarului intră sub banda reflectorizantă.</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În zona pieptului din partea stângă este 1 buzunar aplicat compus, dintr-un reper care constă din 2 compartimente separate prin cusătură. Primul compartiment din partea centrală a produsului este destinat pentru pix și este prelucrat cu cusătură simplă de aplicare. Al doilea compartiment este de tip «burduf»  (latura orientată spre linia  de simetrie a feței). Intrarea în buzunar este din partea de sus. Pe al doilea compartiment a buzunarului, sub tivul mărginii superioare este aplicată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xml:space="preserve">» </w:t>
            </w:r>
            <w:proofErr w:type="spellStart"/>
            <w:r w:rsidRPr="006C4270">
              <w:rPr>
                <w:rFonts w:ascii="Times New Roman" w:eastAsia="Calibri" w:hAnsi="Times New Roman" w:cs="Times New Roman"/>
                <w:szCs w:val="24"/>
                <w:lang w:val="ro-MO"/>
              </w:rPr>
              <w:t>Loop</w:t>
            </w:r>
            <w:proofErr w:type="spellEnd"/>
            <w:r w:rsidRPr="006C4270">
              <w:rPr>
                <w:rFonts w:ascii="Times New Roman" w:eastAsia="Calibri" w:hAnsi="Times New Roman" w:cs="Times New Roman"/>
                <w:szCs w:val="24"/>
                <w:lang w:val="ro-MO"/>
              </w:rPr>
              <w:t xml:space="preserve"> de 40 mm lățime de culoare neagra. Deasupra buzunarului este aplicată banda textilă de culoare neagra în direcția de-a lungul produsului, unul dintre capetele fiind liber. Pe capătul liber a benzii textile este aplicată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xml:space="preserve">» </w:t>
            </w:r>
            <w:proofErr w:type="spellStart"/>
            <w:r w:rsidRPr="006C4270">
              <w:rPr>
                <w:rFonts w:ascii="Times New Roman" w:eastAsia="Calibri" w:hAnsi="Times New Roman" w:cs="Times New Roman"/>
                <w:szCs w:val="24"/>
                <w:lang w:val="ro-MO"/>
              </w:rPr>
              <w:t>Hook</w:t>
            </w:r>
            <w:proofErr w:type="spellEnd"/>
            <w:r w:rsidRPr="006C4270">
              <w:rPr>
                <w:rFonts w:ascii="Times New Roman" w:eastAsia="Calibri" w:hAnsi="Times New Roman" w:cs="Times New Roman"/>
                <w:szCs w:val="24"/>
                <w:lang w:val="ro-MO"/>
              </w:rPr>
              <w:t>, ceea ce permite închiderea buzunarului. Rezervele inferioare a buzunarelor și laterale sunt acoperite cu banda reflectorizantă.</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Deasupra buzunarelor de pe piept simetric pe ambele părți este aplicată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Loop110x30mm pentru atașarea însemnelor distinctive.</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Deasupra, paralel cu banda «</w:t>
            </w:r>
            <w:proofErr w:type="spellStart"/>
            <w:r w:rsidRPr="006C4270">
              <w:rPr>
                <w:rFonts w:ascii="Times New Roman" w:eastAsia="Calibri" w:hAnsi="Times New Roman" w:cs="Times New Roman"/>
                <w:szCs w:val="24"/>
                <w:lang w:val="ro-MO"/>
              </w:rPr>
              <w:t>velcro</w:t>
            </w:r>
            <w:proofErr w:type="spellEnd"/>
            <w:r w:rsidRPr="006C4270">
              <w:rPr>
                <w:rFonts w:ascii="Times New Roman" w:eastAsia="Calibri" w:hAnsi="Times New Roman" w:cs="Times New Roman"/>
                <w:szCs w:val="24"/>
                <w:lang w:val="ro-MO"/>
              </w:rPr>
              <w:t xml:space="preserve">» </w:t>
            </w:r>
            <w:proofErr w:type="spellStart"/>
            <w:r w:rsidRPr="006C4270">
              <w:rPr>
                <w:rFonts w:ascii="Times New Roman" w:eastAsia="Calibri" w:hAnsi="Times New Roman" w:cs="Times New Roman"/>
                <w:szCs w:val="24"/>
                <w:lang w:val="ro-MO"/>
              </w:rPr>
              <w:t>Loop</w:t>
            </w:r>
            <w:proofErr w:type="spellEnd"/>
            <w:r w:rsidRPr="006C4270">
              <w:rPr>
                <w:rFonts w:ascii="Times New Roman" w:eastAsia="Calibri" w:hAnsi="Times New Roman" w:cs="Times New Roman"/>
                <w:szCs w:val="24"/>
                <w:lang w:val="ro-MO"/>
              </w:rPr>
              <w:t xml:space="preserve"> pentru atașarea însemnelor distinctive, simetric pe ambele părți este aplicată bandă textilă de culoare neagra cu dimensiunile  2x3 cm pentru fixarea dispozitivelor de comunicare. Rezervele laterale ale benzii intra sub banda reflectorizanta.</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Spatele reprezintă un reper.</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 xml:space="preserve">Clinul lateral este dintr-un reper, din material tricotat, introdus în produs prin coasere. În cusăturile de asamblare a clinului cu reperele față și spate este introdus un fermoar, în așa fel ca să fie posibil reglarea </w:t>
            </w:r>
            <w:r w:rsidRPr="006C4270">
              <w:rPr>
                <w:rFonts w:ascii="Times New Roman" w:eastAsia="Calibri" w:hAnsi="Times New Roman" w:cs="Times New Roman"/>
                <w:szCs w:val="24"/>
                <w:lang w:val="ro-MO"/>
              </w:rPr>
              <w:lastRenderedPageBreak/>
              <w:t>lățimii produsului, clinul rămânând înăuntru. Clinul lateral si fermoarul sunt aplicați la 120 mm de la linia terminației de jos a produsului.</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 xml:space="preserve">Răscroiala gâtului, răscroiala mânecii, linia de simetrie a feței sunt </w:t>
            </w:r>
            <w:proofErr w:type="spellStart"/>
            <w:r w:rsidRPr="006C4270">
              <w:rPr>
                <w:rFonts w:ascii="Times New Roman" w:eastAsia="Calibri" w:hAnsi="Times New Roman" w:cs="Times New Roman"/>
                <w:szCs w:val="24"/>
                <w:lang w:val="ro-MO"/>
              </w:rPr>
              <w:t>bordisite</w:t>
            </w:r>
            <w:proofErr w:type="spellEnd"/>
            <w:r w:rsidRPr="006C4270">
              <w:rPr>
                <w:rFonts w:ascii="Times New Roman" w:eastAsia="Calibri" w:hAnsi="Times New Roman" w:cs="Times New Roman"/>
                <w:szCs w:val="24"/>
                <w:lang w:val="ro-MO"/>
              </w:rPr>
              <w:t xml:space="preserve"> cu banda textilă de culoarea  țesăturii de bază.</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Terminația produsului este tivită.</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Pe fața și pe spatele orizontal sunt aplicate 2 rânduri de banda reflectorizantă de lățimea 50 mm (primul rând fiind amplasat spre terminația inferioară a produsului, iar al doilea rând pe linia taliei) și vertical 2 rânduri (simetric, din partea stângă și partea dreaptă), care trec prin zona umerală și se unesc cu banda de la linia taliei.</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 xml:space="preserve">Pe spatele produsului la nivelul lățimii spatelui simetric este termo-aplicata cu </w:t>
            </w:r>
            <w:proofErr w:type="spellStart"/>
            <w:r w:rsidRPr="006C4270">
              <w:rPr>
                <w:rFonts w:ascii="Times New Roman" w:eastAsia="Calibri" w:hAnsi="Times New Roman" w:cs="Times New Roman"/>
                <w:szCs w:val="24"/>
                <w:lang w:val="ro-MO"/>
              </w:rPr>
              <w:t>pelicola</w:t>
            </w:r>
            <w:proofErr w:type="spellEnd"/>
            <w:r w:rsidRPr="006C4270">
              <w:rPr>
                <w:rFonts w:ascii="Times New Roman" w:eastAsia="Calibri" w:hAnsi="Times New Roman" w:cs="Times New Roman"/>
                <w:szCs w:val="24"/>
                <w:lang w:val="ro-MO"/>
              </w:rPr>
              <w:t xml:space="preserve"> reflectorizanta  inscripția POLIȚIA.</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 xml:space="preserve">Țesătura de baza trebuie sa asigure 50 spălări fără modificarea aspectului optic al </w:t>
            </w:r>
            <w:proofErr w:type="spellStart"/>
            <w:r w:rsidRPr="006C4270">
              <w:rPr>
                <w:rFonts w:ascii="Times New Roman" w:eastAsia="Calibri" w:hAnsi="Times New Roman" w:cs="Times New Roman"/>
                <w:szCs w:val="24"/>
                <w:lang w:val="ro-MO"/>
              </w:rPr>
              <w:t>jiletului</w:t>
            </w:r>
            <w:proofErr w:type="spellEnd"/>
            <w:r w:rsidRPr="006C4270">
              <w:rPr>
                <w:rFonts w:ascii="Times New Roman" w:eastAsia="Calibri" w:hAnsi="Times New Roman" w:cs="Times New Roman"/>
                <w:szCs w:val="24"/>
                <w:lang w:val="ro-MO"/>
              </w:rPr>
              <w:t xml:space="preserve">, compoziția țesăturii 35 % </w:t>
            </w:r>
            <w:proofErr w:type="spellStart"/>
            <w:r w:rsidRPr="006C4270">
              <w:rPr>
                <w:rFonts w:ascii="Times New Roman" w:eastAsia="Calibri" w:hAnsi="Times New Roman" w:cs="Times New Roman"/>
                <w:szCs w:val="24"/>
                <w:lang w:val="ro-MO"/>
              </w:rPr>
              <w:t>bbc</w:t>
            </w:r>
            <w:proofErr w:type="spellEnd"/>
            <w:r w:rsidRPr="006C4270">
              <w:rPr>
                <w:rFonts w:ascii="Times New Roman" w:eastAsia="Calibri" w:hAnsi="Times New Roman" w:cs="Times New Roman"/>
                <w:szCs w:val="24"/>
                <w:lang w:val="ro-MO"/>
              </w:rPr>
              <w:t xml:space="preserve"> /65 % </w:t>
            </w:r>
            <w:proofErr w:type="spellStart"/>
            <w:r w:rsidRPr="006C4270">
              <w:rPr>
                <w:rFonts w:ascii="Times New Roman" w:eastAsia="Calibri" w:hAnsi="Times New Roman" w:cs="Times New Roman"/>
                <w:szCs w:val="24"/>
                <w:lang w:val="ro-MO"/>
              </w:rPr>
              <w:t>pes</w:t>
            </w:r>
            <w:proofErr w:type="spellEnd"/>
            <w:r w:rsidRPr="006C4270">
              <w:rPr>
                <w:rFonts w:ascii="Times New Roman" w:eastAsia="Calibri" w:hAnsi="Times New Roman" w:cs="Times New Roman"/>
                <w:szCs w:val="24"/>
                <w:lang w:val="ro-MO"/>
              </w:rPr>
              <w:t xml:space="preserve">, 240 gr/m.p. </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Culoarea țesăturii galben HI-VIS.</w:t>
            </w:r>
          </w:p>
          <w:p w:rsidR="003B027E" w:rsidRPr="006C4270" w:rsidRDefault="003B027E" w:rsidP="002103FD">
            <w:pPr>
              <w:spacing w:after="0"/>
              <w:ind w:firstLine="340"/>
              <w:jc w:val="both"/>
              <w:rPr>
                <w:rFonts w:ascii="Times New Roman" w:eastAsia="Calibri" w:hAnsi="Times New Roman" w:cs="Times New Roman"/>
                <w:szCs w:val="24"/>
                <w:lang w:val="ro-MO"/>
              </w:rPr>
            </w:pPr>
            <w:r w:rsidRPr="006C4270">
              <w:rPr>
                <w:rFonts w:ascii="Times New Roman" w:eastAsia="Calibri" w:hAnsi="Times New Roman" w:cs="Times New Roman"/>
                <w:szCs w:val="24"/>
                <w:lang w:val="ro-MO"/>
              </w:rPr>
              <w:t>Banda reflectorizanta cu compoziția 35%bbc/65%pes, cu lățimea de 5 cm. si rezistenta la 50 spălări industriale.</w:t>
            </w:r>
          </w:p>
          <w:p w:rsidR="003B027E" w:rsidRPr="003B027E" w:rsidRDefault="003B027E" w:rsidP="003B027E">
            <w:pPr>
              <w:spacing w:after="0"/>
              <w:ind w:firstLine="340"/>
              <w:jc w:val="both"/>
              <w:rPr>
                <w:rFonts w:ascii="Times New Roman" w:eastAsia="Calibri" w:hAnsi="Times New Roman" w:cs="Times New Roman"/>
                <w:sz w:val="24"/>
                <w:szCs w:val="24"/>
                <w:lang w:val="en-US"/>
              </w:rPr>
            </w:pPr>
            <w:r w:rsidRPr="006C4270">
              <w:rPr>
                <w:rFonts w:ascii="Times New Roman" w:eastAsia="Calibri" w:hAnsi="Times New Roman" w:cs="Times New Roman"/>
                <w:szCs w:val="24"/>
                <w:lang w:val="ro-MO"/>
              </w:rPr>
              <w:t>Materialele utilizate trebuie sa fie însoțite de certificările producătorului (vânzătorului) care confirma parametrii solicitați</w:t>
            </w:r>
            <w:r w:rsidRPr="006C4270">
              <w:rPr>
                <w:rFonts w:ascii="Times New Roman" w:eastAsia="Calibri" w:hAnsi="Times New Roman" w:cs="Times New Roman"/>
                <w:szCs w:val="24"/>
                <w:lang w:val="en-US"/>
              </w:rPr>
              <w:t>.</w:t>
            </w:r>
          </w:p>
        </w:tc>
        <w:tc>
          <w:tcPr>
            <w:tcW w:w="1379" w:type="dxa"/>
          </w:tcPr>
          <w:p w:rsidR="003B027E" w:rsidRPr="003B027E" w:rsidRDefault="003B027E" w:rsidP="005E3C18">
            <w:pPr>
              <w:spacing w:after="0" w:line="240" w:lineRule="auto"/>
              <w:jc w:val="center"/>
              <w:rPr>
                <w:rFonts w:ascii="Times New Roman" w:hAnsi="Times New Roman" w:cs="Times New Roman"/>
                <w:sz w:val="24"/>
                <w:szCs w:val="24"/>
                <w:lang w:val="ro-RO"/>
              </w:rPr>
            </w:pPr>
            <w:r w:rsidRPr="003B027E">
              <w:rPr>
                <w:rFonts w:ascii="Times New Roman" w:hAnsi="Times New Roman" w:cs="Times New Roman"/>
                <w:sz w:val="24"/>
                <w:szCs w:val="24"/>
                <w:lang w:val="ro-RO"/>
              </w:rPr>
              <w:lastRenderedPageBreak/>
              <w:t>Până la 20 decembrie 2022</w:t>
            </w:r>
          </w:p>
        </w:tc>
      </w:tr>
    </w:tbl>
    <w:p w:rsidR="00AF3DC0" w:rsidRDefault="00AF3DC0" w:rsidP="00722698">
      <w:pPr>
        <w:shd w:val="clear" w:color="auto" w:fill="FFFFFF"/>
        <w:spacing w:after="0" w:line="240" w:lineRule="auto"/>
        <w:ind w:firstLine="708"/>
        <w:rPr>
          <w:rFonts w:ascii="Times New Roman" w:hAnsi="Times New Roman" w:cs="Times New Roman"/>
          <w:sz w:val="24"/>
          <w:szCs w:val="24"/>
          <w:lang w:val="ro-RO"/>
        </w:rPr>
      </w:pPr>
    </w:p>
    <w:p w:rsidR="00913D68" w:rsidRPr="003B027E" w:rsidRDefault="00AF510C" w:rsidP="009A0D83">
      <w:pPr>
        <w:pStyle w:val="a3"/>
        <w:spacing w:line="276" w:lineRule="auto"/>
        <w:ind w:firstLine="708"/>
        <w:jc w:val="both"/>
        <w:rPr>
          <w:b/>
          <w:sz w:val="22"/>
          <w:szCs w:val="24"/>
        </w:rPr>
      </w:pPr>
      <w:r w:rsidRPr="003B027E">
        <w:rPr>
          <w:b/>
          <w:sz w:val="22"/>
          <w:szCs w:val="24"/>
        </w:rPr>
        <w:t>Operatorii</w:t>
      </w:r>
      <w:r w:rsidR="00913D68" w:rsidRPr="003B027E">
        <w:rPr>
          <w:b/>
          <w:sz w:val="22"/>
          <w:szCs w:val="24"/>
        </w:rPr>
        <w:t xml:space="preserve"> economici </w:t>
      </w:r>
      <w:r w:rsidRPr="003B027E">
        <w:rPr>
          <w:b/>
          <w:sz w:val="22"/>
          <w:szCs w:val="24"/>
        </w:rPr>
        <w:t>participanți</w:t>
      </w:r>
      <w:r w:rsidR="00913D68" w:rsidRPr="003B027E">
        <w:rPr>
          <w:b/>
          <w:sz w:val="22"/>
          <w:szCs w:val="24"/>
        </w:rPr>
        <w:t xml:space="preserve"> la </w:t>
      </w:r>
      <w:r w:rsidRPr="003B027E">
        <w:rPr>
          <w:b/>
          <w:sz w:val="22"/>
          <w:szCs w:val="24"/>
        </w:rPr>
        <w:t>licitația</w:t>
      </w:r>
      <w:r w:rsidR="00913D68" w:rsidRPr="003B027E">
        <w:rPr>
          <w:b/>
          <w:sz w:val="22"/>
          <w:szCs w:val="24"/>
        </w:rPr>
        <w:t xml:space="preserve"> publică, </w:t>
      </w:r>
      <w:r w:rsidR="00722698" w:rsidRPr="003B027E">
        <w:rPr>
          <w:b/>
          <w:sz w:val="22"/>
          <w:szCs w:val="24"/>
        </w:rPr>
        <w:t>sânt</w:t>
      </w:r>
      <w:r w:rsidR="00913D68" w:rsidRPr="003B027E">
        <w:rPr>
          <w:b/>
          <w:sz w:val="22"/>
          <w:szCs w:val="24"/>
        </w:rPr>
        <w:t xml:space="preserve"> </w:t>
      </w:r>
      <w:r w:rsidRPr="003B027E">
        <w:rPr>
          <w:b/>
          <w:sz w:val="22"/>
          <w:szCs w:val="24"/>
        </w:rPr>
        <w:t>obligați</w:t>
      </w:r>
      <w:r w:rsidR="00913D68" w:rsidRPr="003B027E">
        <w:rPr>
          <w:b/>
          <w:sz w:val="22"/>
          <w:szCs w:val="24"/>
        </w:rPr>
        <w:t>:</w:t>
      </w:r>
    </w:p>
    <w:p w:rsidR="00913D68" w:rsidRPr="003B027E" w:rsidRDefault="00913D68" w:rsidP="009A0D83">
      <w:pPr>
        <w:pStyle w:val="a6"/>
        <w:numPr>
          <w:ilvl w:val="0"/>
          <w:numId w:val="2"/>
        </w:numPr>
        <w:spacing w:line="276" w:lineRule="auto"/>
        <w:ind w:left="993" w:hanging="284"/>
        <w:rPr>
          <w:sz w:val="22"/>
          <w:lang w:val="ro-RO"/>
        </w:rPr>
      </w:pPr>
      <w:r w:rsidRPr="003B027E">
        <w:rPr>
          <w:sz w:val="22"/>
          <w:lang w:val="ro-RO"/>
        </w:rPr>
        <w:t>să aprecieze prețul bunurilor materiale doar după ce analizează modelele aprobate;</w:t>
      </w:r>
    </w:p>
    <w:p w:rsidR="00913D68" w:rsidRPr="003B027E" w:rsidRDefault="00913D68" w:rsidP="009A0D83">
      <w:pPr>
        <w:pStyle w:val="a3"/>
        <w:numPr>
          <w:ilvl w:val="0"/>
          <w:numId w:val="2"/>
        </w:numPr>
        <w:tabs>
          <w:tab w:val="left" w:pos="993"/>
        </w:tabs>
        <w:spacing w:line="276" w:lineRule="auto"/>
        <w:ind w:left="0" w:firstLine="709"/>
        <w:jc w:val="both"/>
        <w:rPr>
          <w:b/>
          <w:sz w:val="22"/>
          <w:szCs w:val="24"/>
        </w:rPr>
      </w:pPr>
      <w:r w:rsidRPr="003B027E">
        <w:rPr>
          <w:sz w:val="22"/>
          <w:szCs w:val="24"/>
        </w:rPr>
        <w:t>să prezinte mostr</w:t>
      </w:r>
      <w:r w:rsidR="006C4270">
        <w:rPr>
          <w:sz w:val="22"/>
          <w:szCs w:val="24"/>
        </w:rPr>
        <w:t>a</w:t>
      </w:r>
      <w:r w:rsidRPr="003B027E">
        <w:rPr>
          <w:sz w:val="22"/>
          <w:szCs w:val="24"/>
        </w:rPr>
        <w:t xml:space="preserve"> de produs în cadrul procedurii de achiziție însoțit</w:t>
      </w:r>
      <w:r w:rsidR="006C4270">
        <w:rPr>
          <w:sz w:val="22"/>
          <w:szCs w:val="24"/>
        </w:rPr>
        <w:t>ă</w:t>
      </w:r>
      <w:r w:rsidRPr="003B027E">
        <w:rPr>
          <w:sz w:val="22"/>
          <w:szCs w:val="24"/>
        </w:rPr>
        <w:t xml:space="preserve"> de </w:t>
      </w:r>
      <w:r w:rsidRPr="003B027E">
        <w:rPr>
          <w:b/>
          <w:sz w:val="22"/>
          <w:szCs w:val="24"/>
        </w:rPr>
        <w:t xml:space="preserve">Certificat de conformitate, </w:t>
      </w:r>
      <w:r w:rsidRPr="003B027E">
        <w:rPr>
          <w:sz w:val="22"/>
          <w:szCs w:val="24"/>
        </w:rPr>
        <w:t>conform</w:t>
      </w:r>
      <w:r w:rsidRPr="003B027E">
        <w:rPr>
          <w:b/>
          <w:sz w:val="22"/>
          <w:szCs w:val="24"/>
        </w:rPr>
        <w:t xml:space="preserve"> </w:t>
      </w:r>
      <w:r w:rsidRPr="003B027E">
        <w:rPr>
          <w:sz w:val="22"/>
          <w:szCs w:val="24"/>
        </w:rPr>
        <w:t>art</w:t>
      </w:r>
      <w:r w:rsidR="0057723C" w:rsidRPr="003B027E">
        <w:rPr>
          <w:sz w:val="22"/>
          <w:szCs w:val="24"/>
        </w:rPr>
        <w:t>. 20, capitolul 5 din Legea nr.</w:t>
      </w:r>
      <w:r w:rsidRPr="003B027E">
        <w:rPr>
          <w:sz w:val="22"/>
          <w:szCs w:val="24"/>
        </w:rPr>
        <w:t>235 din 01 decembrie 2011 „Privind activităţile de acreditare şi de evaluare a conformităţii”,</w:t>
      </w:r>
      <w:r w:rsidRPr="003B027E">
        <w:rPr>
          <w:b/>
          <w:sz w:val="22"/>
          <w:szCs w:val="24"/>
        </w:rPr>
        <w:t xml:space="preserve"> </w:t>
      </w:r>
      <w:r w:rsidRPr="003B027E">
        <w:rPr>
          <w:sz w:val="22"/>
          <w:szCs w:val="24"/>
        </w:rPr>
        <w:t xml:space="preserve"> document care atestă că un produs identificat corespunzător a fost supus procedurilor de evaluare a conformităţii şi că la momentul evaluării produsul este conform cerinţelor specificate aplicabile;</w:t>
      </w:r>
    </w:p>
    <w:p w:rsidR="00913D68" w:rsidRPr="003B027E" w:rsidRDefault="00913D68" w:rsidP="009A0D83">
      <w:pPr>
        <w:shd w:val="clear" w:color="auto" w:fill="FFFFFF"/>
        <w:spacing w:after="0"/>
        <w:ind w:firstLine="708"/>
        <w:jc w:val="both"/>
        <w:rPr>
          <w:rFonts w:ascii="Times New Roman" w:hAnsi="Times New Roman" w:cs="Times New Roman"/>
          <w:b/>
          <w:szCs w:val="24"/>
          <w:lang w:val="ro-RO"/>
        </w:rPr>
      </w:pPr>
      <w:r w:rsidRPr="003B027E">
        <w:rPr>
          <w:rFonts w:ascii="Times New Roman" w:hAnsi="Times New Roman" w:cs="Times New Roman"/>
          <w:b/>
          <w:szCs w:val="24"/>
          <w:lang w:val="ro-RO"/>
        </w:rPr>
        <w:t>II. MARCAREA ŞI AMBALAREA</w:t>
      </w:r>
    </w:p>
    <w:p w:rsidR="00913D68" w:rsidRPr="003B027E" w:rsidRDefault="00913D68" w:rsidP="009A0D83">
      <w:pPr>
        <w:shd w:val="clear" w:color="auto" w:fill="FFFFFF"/>
        <w:spacing w:after="0"/>
        <w:ind w:firstLine="708"/>
        <w:jc w:val="both"/>
        <w:rPr>
          <w:rFonts w:ascii="Times New Roman" w:hAnsi="Times New Roman" w:cs="Times New Roman"/>
          <w:szCs w:val="24"/>
          <w:lang w:val="ro-RO"/>
        </w:rPr>
      </w:pPr>
      <w:r w:rsidRPr="003B027E">
        <w:rPr>
          <w:rFonts w:ascii="Times New Roman" w:hAnsi="Times New Roman" w:cs="Times New Roman"/>
          <w:szCs w:val="24"/>
          <w:lang w:val="ro-RO"/>
        </w:rPr>
        <w:t xml:space="preserve">Fiecare produs va fi prevăzut cu o emblemă ţesută, cusută sub </w:t>
      </w:r>
      <w:proofErr w:type="spellStart"/>
      <w:r w:rsidRPr="003B027E">
        <w:rPr>
          <w:rFonts w:ascii="Times New Roman" w:hAnsi="Times New Roman" w:cs="Times New Roman"/>
          <w:szCs w:val="24"/>
          <w:lang w:val="ro-RO"/>
        </w:rPr>
        <w:t>ştei</w:t>
      </w:r>
      <w:proofErr w:type="spellEnd"/>
      <w:r w:rsidRPr="003B027E">
        <w:rPr>
          <w:rFonts w:ascii="Times New Roman" w:hAnsi="Times New Roman" w:cs="Times New Roman"/>
          <w:szCs w:val="24"/>
          <w:lang w:val="ro-RO"/>
        </w:rPr>
        <w:t xml:space="preserve">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rsidR="00913D68" w:rsidRPr="003B027E" w:rsidRDefault="00913D68" w:rsidP="009A0D83">
      <w:pPr>
        <w:shd w:val="clear" w:color="auto" w:fill="FFFFFF"/>
        <w:spacing w:after="0"/>
        <w:ind w:firstLine="708"/>
        <w:jc w:val="both"/>
        <w:rPr>
          <w:rFonts w:ascii="Times New Roman" w:hAnsi="Times New Roman" w:cs="Times New Roman"/>
          <w:szCs w:val="24"/>
          <w:lang w:val="ro-RO"/>
        </w:rPr>
      </w:pPr>
      <w:r w:rsidRPr="003B027E">
        <w:rPr>
          <w:rFonts w:ascii="Times New Roman" w:hAnsi="Times New Roman" w:cs="Times New Roman"/>
          <w:szCs w:val="24"/>
          <w:lang w:val="ro-RO"/>
        </w:rPr>
        <w:t xml:space="preserve">Produsele vor fi împachetate în pungă de polietilenă şi apoi câte 10 bucăţi de aceeaşi mărime într-o cutie de carton, care se închide şi se sigilează. Pe cutie se pune o etichetă pe care se menţionează: denumirea furnizorului, denumirea produsului, mărimea și numărul de bucăţi.  </w:t>
      </w:r>
    </w:p>
    <w:p w:rsidR="00913D68" w:rsidRPr="003B027E" w:rsidRDefault="00913D68" w:rsidP="009A0D83">
      <w:pPr>
        <w:shd w:val="clear" w:color="auto" w:fill="FFFFFF"/>
        <w:spacing w:after="0"/>
        <w:ind w:firstLine="708"/>
        <w:jc w:val="both"/>
        <w:rPr>
          <w:rFonts w:ascii="Times New Roman" w:hAnsi="Times New Roman" w:cs="Times New Roman"/>
          <w:b/>
          <w:szCs w:val="24"/>
          <w:lang w:val="ro-RO"/>
        </w:rPr>
      </w:pPr>
      <w:r w:rsidRPr="003B027E">
        <w:rPr>
          <w:rFonts w:ascii="Times New Roman" w:hAnsi="Times New Roman" w:cs="Times New Roman"/>
          <w:b/>
          <w:szCs w:val="24"/>
          <w:lang w:val="ro-RO"/>
        </w:rPr>
        <w:t>III. DEPOZITARE, TRANSPORT, GARANȚII</w:t>
      </w:r>
    </w:p>
    <w:p w:rsidR="00913D68" w:rsidRPr="003B027E" w:rsidRDefault="00913D68" w:rsidP="009A0D83">
      <w:pPr>
        <w:shd w:val="clear" w:color="auto" w:fill="FFFFFF"/>
        <w:spacing w:after="0"/>
        <w:ind w:firstLine="708"/>
        <w:jc w:val="both"/>
        <w:rPr>
          <w:rFonts w:ascii="Times New Roman" w:hAnsi="Times New Roman" w:cs="Times New Roman"/>
          <w:szCs w:val="24"/>
          <w:lang w:val="ro-RO"/>
        </w:rPr>
      </w:pPr>
      <w:r w:rsidRPr="003B027E">
        <w:rPr>
          <w:rFonts w:ascii="Times New Roman" w:hAnsi="Times New Roman" w:cs="Times New Roman"/>
          <w:b/>
          <w:szCs w:val="24"/>
          <w:lang w:val="ro-RO"/>
        </w:rPr>
        <w:t>Depozitarea</w:t>
      </w:r>
      <w:r w:rsidRPr="003B027E">
        <w:rPr>
          <w:rFonts w:ascii="Times New Roman" w:hAnsi="Times New Roman" w:cs="Times New Roman"/>
          <w:szCs w:val="24"/>
          <w:lang w:val="ro-RO"/>
        </w:rPr>
        <w:t xml:space="preserve"> se face în magazii curate, aerisite şi cu pereţii uscaţi. Cutiile se aşează pe rafturi sau podiumuri pe mărimi conform procentajului cerut de beneficiar, ferite de acţiunea directă a razelor solare şi rozătoarelor.</w:t>
      </w:r>
    </w:p>
    <w:p w:rsidR="00913D68" w:rsidRPr="003B027E" w:rsidRDefault="00913D68" w:rsidP="009A0D83">
      <w:pPr>
        <w:shd w:val="clear" w:color="auto" w:fill="FFFFFF"/>
        <w:spacing w:after="0"/>
        <w:ind w:firstLine="708"/>
        <w:jc w:val="both"/>
        <w:rPr>
          <w:rFonts w:ascii="Times New Roman" w:hAnsi="Times New Roman" w:cs="Times New Roman"/>
          <w:szCs w:val="24"/>
          <w:lang w:val="ro-RO"/>
        </w:rPr>
      </w:pPr>
      <w:r w:rsidRPr="003B027E">
        <w:rPr>
          <w:rFonts w:ascii="Times New Roman" w:hAnsi="Times New Roman" w:cs="Times New Roman"/>
          <w:b/>
          <w:szCs w:val="24"/>
          <w:lang w:val="ro-RO"/>
        </w:rPr>
        <w:t>Transportul</w:t>
      </w:r>
      <w:r w:rsidRPr="003B027E">
        <w:rPr>
          <w:rFonts w:ascii="Times New Roman" w:hAnsi="Times New Roman" w:cs="Times New Roman"/>
          <w:szCs w:val="24"/>
          <w:lang w:val="ro-RO"/>
        </w:rPr>
        <w:t xml:space="preserve"> produselor se va face cu mijloace de transport curate şi acoperite.</w:t>
      </w:r>
    </w:p>
    <w:p w:rsidR="00913D68" w:rsidRPr="003B027E" w:rsidRDefault="00913D68" w:rsidP="009A0D83">
      <w:pPr>
        <w:spacing w:after="0"/>
        <w:ind w:firstLine="708"/>
        <w:jc w:val="both"/>
        <w:rPr>
          <w:rFonts w:ascii="Times New Roman" w:hAnsi="Times New Roman" w:cs="Times New Roman"/>
          <w:szCs w:val="24"/>
          <w:lang w:val="ro-RO"/>
        </w:rPr>
      </w:pPr>
      <w:r w:rsidRPr="003B027E">
        <w:rPr>
          <w:rFonts w:ascii="Times New Roman" w:hAnsi="Times New Roman" w:cs="Times New Roman"/>
          <w:szCs w:val="24"/>
          <w:lang w:val="ro-RO"/>
        </w:rPr>
        <w:t xml:space="preserve">Termenul de garanție pentru produsele livrate va fi de 12 luni. Termenul de garanţie începe de la data furnizării către beneficiar. </w:t>
      </w:r>
    </w:p>
    <w:sectPr w:rsidR="00913D68" w:rsidRPr="003B027E" w:rsidSect="003B027E">
      <w:pgSz w:w="16838" w:h="11906" w:orient="landscape"/>
      <w:pgMar w:top="567" w:right="395"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684"/>
    <w:multiLevelType w:val="hybridMultilevel"/>
    <w:tmpl w:val="71CAF6D4"/>
    <w:lvl w:ilvl="0" w:tplc="E2F678BE">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22484F"/>
    <w:multiLevelType w:val="hybridMultilevel"/>
    <w:tmpl w:val="93165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357AE"/>
    <w:multiLevelType w:val="hybridMultilevel"/>
    <w:tmpl w:val="0482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42273"/>
    <w:multiLevelType w:val="hybridMultilevel"/>
    <w:tmpl w:val="B03C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D4FA9"/>
    <w:multiLevelType w:val="hybridMultilevel"/>
    <w:tmpl w:val="7D96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A2FE0"/>
    <w:multiLevelType w:val="hybridMultilevel"/>
    <w:tmpl w:val="A3C06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24ECD"/>
    <w:multiLevelType w:val="hybridMultilevel"/>
    <w:tmpl w:val="AC24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86DD5"/>
    <w:multiLevelType w:val="hybridMultilevel"/>
    <w:tmpl w:val="9706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D23BE"/>
    <w:multiLevelType w:val="hybridMultilevel"/>
    <w:tmpl w:val="D0A2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67551"/>
    <w:multiLevelType w:val="hybridMultilevel"/>
    <w:tmpl w:val="EFD8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314D6"/>
    <w:multiLevelType w:val="hybridMultilevel"/>
    <w:tmpl w:val="029A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34B01"/>
    <w:multiLevelType w:val="hybridMultilevel"/>
    <w:tmpl w:val="6FD0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8488E"/>
    <w:multiLevelType w:val="hybridMultilevel"/>
    <w:tmpl w:val="6CC6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F7454"/>
    <w:multiLevelType w:val="hybridMultilevel"/>
    <w:tmpl w:val="23AC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120D4"/>
    <w:multiLevelType w:val="hybridMultilevel"/>
    <w:tmpl w:val="3F2E3182"/>
    <w:lvl w:ilvl="0" w:tplc="C246ADE6">
      <w:start w:val="1"/>
      <w:numFmt w:val="upperRoman"/>
      <w:lvlText w:val="%1-"/>
      <w:lvlJc w:val="left"/>
      <w:pPr>
        <w:ind w:left="1080" w:hanging="720"/>
      </w:pPr>
      <w:rPr>
        <w:rFonts w:eastAsia="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4651B"/>
    <w:multiLevelType w:val="hybridMultilevel"/>
    <w:tmpl w:val="386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36680"/>
    <w:multiLevelType w:val="hybridMultilevel"/>
    <w:tmpl w:val="FA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4C6"/>
    <w:multiLevelType w:val="hybridMultilevel"/>
    <w:tmpl w:val="37D4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F44E48"/>
    <w:multiLevelType w:val="hybridMultilevel"/>
    <w:tmpl w:val="C2A8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031454"/>
    <w:multiLevelType w:val="hybridMultilevel"/>
    <w:tmpl w:val="1BE8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6F1E5E"/>
    <w:multiLevelType w:val="hybridMultilevel"/>
    <w:tmpl w:val="85BE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354E4"/>
    <w:multiLevelType w:val="hybridMultilevel"/>
    <w:tmpl w:val="08A2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51805"/>
    <w:multiLevelType w:val="hybridMultilevel"/>
    <w:tmpl w:val="7064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341F9"/>
    <w:multiLevelType w:val="multilevel"/>
    <w:tmpl w:val="81B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F122E"/>
    <w:multiLevelType w:val="hybridMultilevel"/>
    <w:tmpl w:val="49CA3490"/>
    <w:lvl w:ilvl="0" w:tplc="4AF89C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AF14CE"/>
    <w:multiLevelType w:val="hybridMultilevel"/>
    <w:tmpl w:val="BB54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7F2026"/>
    <w:multiLevelType w:val="hybridMultilevel"/>
    <w:tmpl w:val="F9F4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56C74"/>
    <w:multiLevelType w:val="hybridMultilevel"/>
    <w:tmpl w:val="D8A0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6E092B"/>
    <w:multiLevelType w:val="hybridMultilevel"/>
    <w:tmpl w:val="F16C7A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895EA6"/>
    <w:multiLevelType w:val="hybridMultilevel"/>
    <w:tmpl w:val="EBA240E6"/>
    <w:lvl w:ilvl="0" w:tplc="44249A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66A0D"/>
    <w:multiLevelType w:val="multilevel"/>
    <w:tmpl w:val="7D6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9A02F2"/>
    <w:multiLevelType w:val="hybridMultilevel"/>
    <w:tmpl w:val="AEECFE7A"/>
    <w:lvl w:ilvl="0" w:tplc="124AF230">
      <w:start w:val="1"/>
      <w:numFmt w:val="lowerLetter"/>
      <w:lvlText w:val="%1)"/>
      <w:lvlJc w:val="left"/>
      <w:pPr>
        <w:ind w:left="1260" w:hanging="360"/>
      </w:pPr>
      <w:rPr>
        <w:rFonts w:ascii="Times New Roman" w:eastAsia="Times New Roman"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EE72FF9"/>
    <w:multiLevelType w:val="hybridMultilevel"/>
    <w:tmpl w:val="5186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1B14D0"/>
    <w:multiLevelType w:val="hybridMultilevel"/>
    <w:tmpl w:val="42307A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1"/>
  </w:num>
  <w:num w:numId="3">
    <w:abstractNumId w:val="17"/>
  </w:num>
  <w:num w:numId="4">
    <w:abstractNumId w:val="26"/>
  </w:num>
  <w:num w:numId="5">
    <w:abstractNumId w:val="1"/>
  </w:num>
  <w:num w:numId="6">
    <w:abstractNumId w:val="25"/>
  </w:num>
  <w:num w:numId="7">
    <w:abstractNumId w:val="20"/>
  </w:num>
  <w:num w:numId="8">
    <w:abstractNumId w:val="16"/>
  </w:num>
  <w:num w:numId="9">
    <w:abstractNumId w:val="4"/>
  </w:num>
  <w:num w:numId="10">
    <w:abstractNumId w:val="19"/>
  </w:num>
  <w:num w:numId="11">
    <w:abstractNumId w:val="29"/>
  </w:num>
  <w:num w:numId="12">
    <w:abstractNumId w:val="27"/>
  </w:num>
  <w:num w:numId="13">
    <w:abstractNumId w:val="28"/>
  </w:num>
  <w:num w:numId="14">
    <w:abstractNumId w:val="24"/>
  </w:num>
  <w:num w:numId="15">
    <w:abstractNumId w:val="8"/>
  </w:num>
  <w:num w:numId="16">
    <w:abstractNumId w:val="14"/>
  </w:num>
  <w:num w:numId="17">
    <w:abstractNumId w:val="13"/>
  </w:num>
  <w:num w:numId="18">
    <w:abstractNumId w:val="21"/>
  </w:num>
  <w:num w:numId="19">
    <w:abstractNumId w:val="22"/>
  </w:num>
  <w:num w:numId="20">
    <w:abstractNumId w:val="18"/>
  </w:num>
  <w:num w:numId="21">
    <w:abstractNumId w:val="9"/>
  </w:num>
  <w:num w:numId="22">
    <w:abstractNumId w:val="7"/>
  </w:num>
  <w:num w:numId="23">
    <w:abstractNumId w:val="12"/>
  </w:num>
  <w:num w:numId="24">
    <w:abstractNumId w:val="10"/>
  </w:num>
  <w:num w:numId="25">
    <w:abstractNumId w:val="30"/>
  </w:num>
  <w:num w:numId="26">
    <w:abstractNumId w:val="33"/>
  </w:num>
  <w:num w:numId="27">
    <w:abstractNumId w:val="6"/>
  </w:num>
  <w:num w:numId="28">
    <w:abstractNumId w:val="32"/>
  </w:num>
  <w:num w:numId="29">
    <w:abstractNumId w:val="3"/>
  </w:num>
  <w:num w:numId="30">
    <w:abstractNumId w:val="11"/>
  </w:num>
  <w:num w:numId="31">
    <w:abstractNumId w:val="2"/>
  </w:num>
  <w:num w:numId="32">
    <w:abstractNumId w:val="5"/>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C"/>
    <w:rsid w:val="0000395C"/>
    <w:rsid w:val="00017BFE"/>
    <w:rsid w:val="00032B84"/>
    <w:rsid w:val="000809C6"/>
    <w:rsid w:val="000A09E0"/>
    <w:rsid w:val="000A659E"/>
    <w:rsid w:val="000C014C"/>
    <w:rsid w:val="000C2A72"/>
    <w:rsid w:val="000D686B"/>
    <w:rsid w:val="00110299"/>
    <w:rsid w:val="00134F73"/>
    <w:rsid w:val="001609BA"/>
    <w:rsid w:val="00166F4D"/>
    <w:rsid w:val="00175A1F"/>
    <w:rsid w:val="00177C97"/>
    <w:rsid w:val="001A631B"/>
    <w:rsid w:val="002103FD"/>
    <w:rsid w:val="002404D2"/>
    <w:rsid w:val="002671E4"/>
    <w:rsid w:val="00273529"/>
    <w:rsid w:val="00367440"/>
    <w:rsid w:val="00395E39"/>
    <w:rsid w:val="003B027E"/>
    <w:rsid w:val="003D1221"/>
    <w:rsid w:val="003D16E8"/>
    <w:rsid w:val="004344CA"/>
    <w:rsid w:val="0044547B"/>
    <w:rsid w:val="00447EBE"/>
    <w:rsid w:val="00463D9E"/>
    <w:rsid w:val="00474E2C"/>
    <w:rsid w:val="0049330A"/>
    <w:rsid w:val="00493D3F"/>
    <w:rsid w:val="004A4813"/>
    <w:rsid w:val="004B7F16"/>
    <w:rsid w:val="00501EF4"/>
    <w:rsid w:val="00576F0F"/>
    <w:rsid w:val="0057723C"/>
    <w:rsid w:val="00595230"/>
    <w:rsid w:val="005A1A26"/>
    <w:rsid w:val="005C63A3"/>
    <w:rsid w:val="005D27C1"/>
    <w:rsid w:val="005D4E78"/>
    <w:rsid w:val="005E3C18"/>
    <w:rsid w:val="00607197"/>
    <w:rsid w:val="00613EAC"/>
    <w:rsid w:val="0063398B"/>
    <w:rsid w:val="00693DB0"/>
    <w:rsid w:val="006C4270"/>
    <w:rsid w:val="006C6757"/>
    <w:rsid w:val="006D4D26"/>
    <w:rsid w:val="006D77EF"/>
    <w:rsid w:val="006F61AA"/>
    <w:rsid w:val="00720D04"/>
    <w:rsid w:val="00722698"/>
    <w:rsid w:val="00784009"/>
    <w:rsid w:val="00784DBA"/>
    <w:rsid w:val="00795EB0"/>
    <w:rsid w:val="007A4E81"/>
    <w:rsid w:val="007B3CCB"/>
    <w:rsid w:val="008057FA"/>
    <w:rsid w:val="00833436"/>
    <w:rsid w:val="008439A5"/>
    <w:rsid w:val="00862F8B"/>
    <w:rsid w:val="00873AA5"/>
    <w:rsid w:val="008958F6"/>
    <w:rsid w:val="008D6547"/>
    <w:rsid w:val="008F2BA0"/>
    <w:rsid w:val="009006A5"/>
    <w:rsid w:val="00913D68"/>
    <w:rsid w:val="00925377"/>
    <w:rsid w:val="00930961"/>
    <w:rsid w:val="0093223C"/>
    <w:rsid w:val="00972DBB"/>
    <w:rsid w:val="00985AB6"/>
    <w:rsid w:val="009A0D83"/>
    <w:rsid w:val="009B7EB7"/>
    <w:rsid w:val="009C154A"/>
    <w:rsid w:val="009C1F23"/>
    <w:rsid w:val="009D4B57"/>
    <w:rsid w:val="009E4647"/>
    <w:rsid w:val="00A13D99"/>
    <w:rsid w:val="00A557C5"/>
    <w:rsid w:val="00A747BF"/>
    <w:rsid w:val="00A93996"/>
    <w:rsid w:val="00AB4A23"/>
    <w:rsid w:val="00AC0D7C"/>
    <w:rsid w:val="00AF3DC0"/>
    <w:rsid w:val="00AF510C"/>
    <w:rsid w:val="00B12423"/>
    <w:rsid w:val="00B3113D"/>
    <w:rsid w:val="00B41AE5"/>
    <w:rsid w:val="00B92E73"/>
    <w:rsid w:val="00B93A92"/>
    <w:rsid w:val="00B94B2C"/>
    <w:rsid w:val="00BC44FE"/>
    <w:rsid w:val="00C20FF1"/>
    <w:rsid w:val="00C25B39"/>
    <w:rsid w:val="00C51754"/>
    <w:rsid w:val="00C67494"/>
    <w:rsid w:val="00CA37F4"/>
    <w:rsid w:val="00CA5DDE"/>
    <w:rsid w:val="00CB2E06"/>
    <w:rsid w:val="00CB3387"/>
    <w:rsid w:val="00CE0F4E"/>
    <w:rsid w:val="00D05362"/>
    <w:rsid w:val="00D81628"/>
    <w:rsid w:val="00D90908"/>
    <w:rsid w:val="00D90F63"/>
    <w:rsid w:val="00DB01D7"/>
    <w:rsid w:val="00DB32EE"/>
    <w:rsid w:val="00DD70C1"/>
    <w:rsid w:val="00DD71CE"/>
    <w:rsid w:val="00E027B7"/>
    <w:rsid w:val="00E10150"/>
    <w:rsid w:val="00E17BF0"/>
    <w:rsid w:val="00E2446C"/>
    <w:rsid w:val="00E278A7"/>
    <w:rsid w:val="00E41FB0"/>
    <w:rsid w:val="00E8056D"/>
    <w:rsid w:val="00E90CF6"/>
    <w:rsid w:val="00EB685B"/>
    <w:rsid w:val="00EC1A38"/>
    <w:rsid w:val="00EF4FD4"/>
    <w:rsid w:val="00F06DE3"/>
    <w:rsid w:val="00F271D9"/>
    <w:rsid w:val="00FD7DCB"/>
    <w:rsid w:val="00FF1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3C"/>
    <w:pPr>
      <w:spacing w:after="200" w:line="276" w:lineRule="auto"/>
    </w:pPr>
  </w:style>
  <w:style w:type="paragraph" w:styleId="3">
    <w:name w:val="heading 3"/>
    <w:basedOn w:val="a"/>
    <w:next w:val="a"/>
    <w:link w:val="30"/>
    <w:uiPriority w:val="9"/>
    <w:unhideWhenUsed/>
    <w:qFormat/>
    <w:rsid w:val="0093223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223C"/>
    <w:rPr>
      <w:rFonts w:asciiTheme="majorHAnsi" w:eastAsiaTheme="majorEastAsia" w:hAnsiTheme="majorHAnsi" w:cstheme="majorBidi"/>
      <w:color w:val="1F4D78" w:themeColor="accent1" w:themeShade="7F"/>
      <w:sz w:val="24"/>
      <w:szCs w:val="24"/>
    </w:rPr>
  </w:style>
  <w:style w:type="paragraph" w:styleId="a3">
    <w:name w:val="Body Text"/>
    <w:basedOn w:val="a"/>
    <w:link w:val="a4"/>
    <w:rsid w:val="0093223C"/>
    <w:pPr>
      <w:spacing w:after="0" w:line="240" w:lineRule="auto"/>
    </w:pPr>
    <w:rPr>
      <w:rFonts w:ascii="Times New Roman" w:eastAsia="Times New Roman" w:hAnsi="Times New Roman" w:cs="Times New Roman"/>
      <w:sz w:val="28"/>
      <w:szCs w:val="28"/>
      <w:lang w:val="ro-RO" w:eastAsia="ru-RU"/>
    </w:rPr>
  </w:style>
  <w:style w:type="character" w:customStyle="1" w:styleId="a4">
    <w:name w:val="Основной текст Знак"/>
    <w:basedOn w:val="a0"/>
    <w:link w:val="a3"/>
    <w:rsid w:val="0093223C"/>
    <w:rPr>
      <w:rFonts w:ascii="Times New Roman" w:eastAsia="Times New Roman" w:hAnsi="Times New Roman" w:cs="Times New Roman"/>
      <w:sz w:val="28"/>
      <w:szCs w:val="28"/>
      <w:lang w:val="ro-RO" w:eastAsia="ru-RU"/>
    </w:rPr>
  </w:style>
  <w:style w:type="paragraph" w:styleId="a5">
    <w:name w:val="No Spacing"/>
    <w:uiPriority w:val="1"/>
    <w:qFormat/>
    <w:rsid w:val="0093223C"/>
    <w:pPr>
      <w:spacing w:after="0" w:line="240" w:lineRule="auto"/>
    </w:pPr>
    <w:rPr>
      <w:rFonts w:ascii="Calibri" w:eastAsia="Calibri" w:hAnsi="Calibri" w:cs="Times New Roman"/>
    </w:rPr>
  </w:style>
  <w:style w:type="paragraph" w:styleId="a6">
    <w:name w:val="List Paragraph"/>
    <w:basedOn w:val="a"/>
    <w:uiPriority w:val="34"/>
    <w:qFormat/>
    <w:rsid w:val="0093223C"/>
    <w:pPr>
      <w:spacing w:after="0" w:line="240" w:lineRule="auto"/>
      <w:ind w:left="720"/>
      <w:contextualSpacing/>
    </w:pPr>
    <w:rPr>
      <w:rFonts w:ascii="Times New Roman" w:eastAsia="Times New Roman" w:hAnsi="Times New Roman" w:cs="Times New Roman"/>
      <w:sz w:val="24"/>
      <w:szCs w:val="24"/>
      <w:lang w:eastAsia="ru-RU" w:bidi="ps-AF"/>
    </w:rPr>
  </w:style>
  <w:style w:type="table" w:styleId="a7">
    <w:name w:val="Table Grid"/>
    <w:basedOn w:val="a1"/>
    <w:uiPriority w:val="39"/>
    <w:rsid w:val="0093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93223C"/>
    <w:pPr>
      <w:spacing w:after="0" w:line="240" w:lineRule="auto"/>
      <w:ind w:firstLine="567"/>
      <w:jc w:val="both"/>
    </w:pPr>
    <w:rPr>
      <w:rFonts w:ascii="Times New Roman" w:eastAsia="Times New Roman" w:hAnsi="Times New Roman" w:cs="Times New Roman"/>
      <w:sz w:val="24"/>
      <w:szCs w:val="24"/>
      <w:lang w:eastAsia="ru-RU"/>
    </w:rPr>
  </w:style>
  <w:style w:type="character" w:styleId="a9">
    <w:name w:val="Strong"/>
    <w:basedOn w:val="a0"/>
    <w:uiPriority w:val="22"/>
    <w:qFormat/>
    <w:rsid w:val="0093223C"/>
    <w:rPr>
      <w:b/>
      <w:bCs/>
    </w:rPr>
  </w:style>
  <w:style w:type="character" w:customStyle="1" w:styleId="docblue">
    <w:name w:val="doc_blue"/>
    <w:basedOn w:val="a0"/>
    <w:rsid w:val="0093223C"/>
  </w:style>
  <w:style w:type="paragraph" w:styleId="HTML">
    <w:name w:val="HTML Preformatted"/>
    <w:basedOn w:val="a"/>
    <w:link w:val="HTML0"/>
    <w:uiPriority w:val="99"/>
    <w:semiHidden/>
    <w:unhideWhenUsed/>
    <w:rsid w:val="0093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23C"/>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32B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3C"/>
    <w:pPr>
      <w:spacing w:after="200" w:line="276" w:lineRule="auto"/>
    </w:pPr>
  </w:style>
  <w:style w:type="paragraph" w:styleId="3">
    <w:name w:val="heading 3"/>
    <w:basedOn w:val="a"/>
    <w:next w:val="a"/>
    <w:link w:val="30"/>
    <w:uiPriority w:val="9"/>
    <w:unhideWhenUsed/>
    <w:qFormat/>
    <w:rsid w:val="0093223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223C"/>
    <w:rPr>
      <w:rFonts w:asciiTheme="majorHAnsi" w:eastAsiaTheme="majorEastAsia" w:hAnsiTheme="majorHAnsi" w:cstheme="majorBidi"/>
      <w:color w:val="1F4D78" w:themeColor="accent1" w:themeShade="7F"/>
      <w:sz w:val="24"/>
      <w:szCs w:val="24"/>
    </w:rPr>
  </w:style>
  <w:style w:type="paragraph" w:styleId="a3">
    <w:name w:val="Body Text"/>
    <w:basedOn w:val="a"/>
    <w:link w:val="a4"/>
    <w:rsid w:val="0093223C"/>
    <w:pPr>
      <w:spacing w:after="0" w:line="240" w:lineRule="auto"/>
    </w:pPr>
    <w:rPr>
      <w:rFonts w:ascii="Times New Roman" w:eastAsia="Times New Roman" w:hAnsi="Times New Roman" w:cs="Times New Roman"/>
      <w:sz w:val="28"/>
      <w:szCs w:val="28"/>
      <w:lang w:val="ro-RO" w:eastAsia="ru-RU"/>
    </w:rPr>
  </w:style>
  <w:style w:type="character" w:customStyle="1" w:styleId="a4">
    <w:name w:val="Основной текст Знак"/>
    <w:basedOn w:val="a0"/>
    <w:link w:val="a3"/>
    <w:rsid w:val="0093223C"/>
    <w:rPr>
      <w:rFonts w:ascii="Times New Roman" w:eastAsia="Times New Roman" w:hAnsi="Times New Roman" w:cs="Times New Roman"/>
      <w:sz w:val="28"/>
      <w:szCs w:val="28"/>
      <w:lang w:val="ro-RO" w:eastAsia="ru-RU"/>
    </w:rPr>
  </w:style>
  <w:style w:type="paragraph" w:styleId="a5">
    <w:name w:val="No Spacing"/>
    <w:uiPriority w:val="1"/>
    <w:qFormat/>
    <w:rsid w:val="0093223C"/>
    <w:pPr>
      <w:spacing w:after="0" w:line="240" w:lineRule="auto"/>
    </w:pPr>
    <w:rPr>
      <w:rFonts w:ascii="Calibri" w:eastAsia="Calibri" w:hAnsi="Calibri" w:cs="Times New Roman"/>
    </w:rPr>
  </w:style>
  <w:style w:type="paragraph" w:styleId="a6">
    <w:name w:val="List Paragraph"/>
    <w:basedOn w:val="a"/>
    <w:uiPriority w:val="34"/>
    <w:qFormat/>
    <w:rsid w:val="0093223C"/>
    <w:pPr>
      <w:spacing w:after="0" w:line="240" w:lineRule="auto"/>
      <w:ind w:left="720"/>
      <w:contextualSpacing/>
    </w:pPr>
    <w:rPr>
      <w:rFonts w:ascii="Times New Roman" w:eastAsia="Times New Roman" w:hAnsi="Times New Roman" w:cs="Times New Roman"/>
      <w:sz w:val="24"/>
      <w:szCs w:val="24"/>
      <w:lang w:eastAsia="ru-RU" w:bidi="ps-AF"/>
    </w:rPr>
  </w:style>
  <w:style w:type="table" w:styleId="a7">
    <w:name w:val="Table Grid"/>
    <w:basedOn w:val="a1"/>
    <w:uiPriority w:val="39"/>
    <w:rsid w:val="0093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93223C"/>
    <w:pPr>
      <w:spacing w:after="0" w:line="240" w:lineRule="auto"/>
      <w:ind w:firstLine="567"/>
      <w:jc w:val="both"/>
    </w:pPr>
    <w:rPr>
      <w:rFonts w:ascii="Times New Roman" w:eastAsia="Times New Roman" w:hAnsi="Times New Roman" w:cs="Times New Roman"/>
      <w:sz w:val="24"/>
      <w:szCs w:val="24"/>
      <w:lang w:eastAsia="ru-RU"/>
    </w:rPr>
  </w:style>
  <w:style w:type="character" w:styleId="a9">
    <w:name w:val="Strong"/>
    <w:basedOn w:val="a0"/>
    <w:uiPriority w:val="22"/>
    <w:qFormat/>
    <w:rsid w:val="0093223C"/>
    <w:rPr>
      <w:b/>
      <w:bCs/>
    </w:rPr>
  </w:style>
  <w:style w:type="character" w:customStyle="1" w:styleId="docblue">
    <w:name w:val="doc_blue"/>
    <w:basedOn w:val="a0"/>
    <w:rsid w:val="0093223C"/>
  </w:style>
  <w:style w:type="paragraph" w:styleId="HTML">
    <w:name w:val="HTML Preformatted"/>
    <w:basedOn w:val="a"/>
    <w:link w:val="HTML0"/>
    <w:uiPriority w:val="99"/>
    <w:semiHidden/>
    <w:unhideWhenUsed/>
    <w:rsid w:val="0093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23C"/>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32B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4752">
      <w:bodyDiv w:val="1"/>
      <w:marLeft w:val="0"/>
      <w:marRight w:val="0"/>
      <w:marTop w:val="0"/>
      <w:marBottom w:val="0"/>
      <w:divBdr>
        <w:top w:val="none" w:sz="0" w:space="0" w:color="auto"/>
        <w:left w:val="none" w:sz="0" w:space="0" w:color="auto"/>
        <w:bottom w:val="none" w:sz="0" w:space="0" w:color="auto"/>
        <w:right w:val="none" w:sz="0" w:space="0" w:color="auto"/>
      </w:divBdr>
    </w:div>
    <w:div w:id="20923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3FDC-F23F-4BEB-BBB8-48B446B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883</Words>
  <Characters>5034</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Victoria Lupan</cp:lastModifiedBy>
  <cp:revision>12</cp:revision>
  <cp:lastPrinted>2022-10-27T12:24:00Z</cp:lastPrinted>
  <dcterms:created xsi:type="dcterms:W3CDTF">2022-07-29T06:00:00Z</dcterms:created>
  <dcterms:modified xsi:type="dcterms:W3CDTF">2022-11-15T09:12:00Z</dcterms:modified>
</cp:coreProperties>
</file>