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4B170C" w:rsidRPr="004B170C">
        <w:rPr>
          <w:noProof w:val="0"/>
          <w:u w:val="single"/>
          <w:lang w:val="it-IT" w:eastAsia="ru-RU"/>
        </w:rPr>
        <w:t>Echipament de stocare și vizualizare a imaginelor de tip DICOM (PACS)</w:t>
      </w:r>
    </w:p>
    <w:p w:rsidR="00435C57" w:rsidRPr="00435C57" w:rsidRDefault="00A60A69" w:rsidP="00435C57">
      <w:pPr>
        <w:jc w:val="both"/>
        <w:rPr>
          <w:bCs/>
          <w:sz w:val="20"/>
          <w:szCs w:val="20"/>
        </w:rPr>
      </w:pPr>
      <w:r w:rsidRPr="004E6492">
        <w:rPr>
          <w:bCs/>
          <w:i/>
        </w:rPr>
        <w:t xml:space="preserve">                                                                         </w:t>
      </w:r>
    </w:p>
    <w:p w:rsidR="004E337B" w:rsidRPr="004B170C"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4B170C">
        <w:rPr>
          <w:u w:val="single"/>
          <w:lang w:val="en-US"/>
        </w:rPr>
        <w:t xml:space="preserve">IMSP Institutul de Neurologie și Neurochirurgie </w:t>
      </w:r>
      <w:r w:rsidR="004E337B" w:rsidRPr="004B170C">
        <w:rPr>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4B170C">
        <w:rPr>
          <w:bCs/>
          <w:iCs/>
        </w:rPr>
        <w:t>28</w:t>
      </w:r>
      <w:r w:rsidR="00FE700E" w:rsidRPr="00FE700E">
        <w:rPr>
          <w:bCs/>
          <w:iCs/>
        </w:rPr>
        <w:t>”</w:t>
      </w:r>
      <w:r w:rsidR="00A968AD">
        <w:rPr>
          <w:bCs/>
          <w:iCs/>
        </w:rPr>
        <w:t xml:space="preserve"> </w:t>
      </w:r>
      <w:r w:rsidR="004B170C">
        <w:rPr>
          <w:bCs/>
          <w:iCs/>
        </w:rPr>
        <w:t>aprilie</w:t>
      </w:r>
      <w:r w:rsidR="00A968AD">
        <w:rPr>
          <w:bCs/>
          <w:iCs/>
        </w:rPr>
        <w:t xml:space="preserve"> 202</w:t>
      </w:r>
      <w:r w:rsidR="00005DF0">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4B170C">
            <w:pPr>
              <w:jc w:val="both"/>
              <w:rPr>
                <w:bCs/>
              </w:rPr>
            </w:pPr>
            <w:r>
              <w:t>Obiectul achiziției</w:t>
            </w:r>
            <w:r w:rsidRPr="00C00499">
              <w:t>:</w:t>
            </w:r>
            <w:r w:rsidR="004B170C">
              <w:t xml:space="preserve"> </w:t>
            </w:r>
            <w:r w:rsidR="004B170C" w:rsidRPr="004B170C">
              <w:rPr>
                <w:noProof w:val="0"/>
                <w:u w:val="single"/>
                <w:lang w:val="it-IT" w:eastAsia="ru-RU"/>
              </w:rPr>
              <w:t>Echipament de stocare și vizualizare a imaginelor de tip DICOM (PACS)</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4B170C" w:rsidRPr="00666426" w:rsidTr="00EA22C5">
        <w:tc>
          <w:tcPr>
            <w:tcW w:w="2430" w:type="dxa"/>
            <w:vAlign w:val="center"/>
          </w:tcPr>
          <w:p w:rsidR="004B170C" w:rsidRPr="0086184E" w:rsidRDefault="004B170C" w:rsidP="00A41E61">
            <w:pPr>
              <w:jc w:val="center"/>
              <w:rPr>
                <w:sz w:val="20"/>
                <w:szCs w:val="20"/>
              </w:rPr>
            </w:pPr>
            <w:r w:rsidRPr="0086184E">
              <w:rPr>
                <w:noProof w:val="0"/>
                <w:sz w:val="20"/>
                <w:szCs w:val="20"/>
                <w:lang w:val="it-IT" w:eastAsia="ru-RU"/>
              </w:rPr>
              <w:t>Echipament de stocare și vizualizare a imaginelor de tip DICOM (PACS)</w:t>
            </w:r>
          </w:p>
        </w:tc>
        <w:tc>
          <w:tcPr>
            <w:tcW w:w="1260" w:type="dxa"/>
            <w:vAlign w:val="center"/>
          </w:tcPr>
          <w:p w:rsidR="004B170C" w:rsidRPr="0086184E" w:rsidRDefault="004B170C" w:rsidP="00A41E61">
            <w:pPr>
              <w:jc w:val="center"/>
              <w:rPr>
                <w:sz w:val="20"/>
                <w:szCs w:val="20"/>
              </w:rPr>
            </w:pPr>
          </w:p>
        </w:tc>
        <w:tc>
          <w:tcPr>
            <w:tcW w:w="1260" w:type="dxa"/>
            <w:vAlign w:val="center"/>
          </w:tcPr>
          <w:p w:rsidR="004B170C" w:rsidRPr="0086184E" w:rsidRDefault="004B170C" w:rsidP="00A41E61">
            <w:pPr>
              <w:jc w:val="center"/>
              <w:rPr>
                <w:sz w:val="20"/>
                <w:szCs w:val="20"/>
              </w:rPr>
            </w:pPr>
          </w:p>
        </w:tc>
        <w:tc>
          <w:tcPr>
            <w:tcW w:w="1620" w:type="dxa"/>
            <w:vAlign w:val="center"/>
          </w:tcPr>
          <w:p w:rsidR="004B170C" w:rsidRPr="0086184E" w:rsidRDefault="004B170C" w:rsidP="00A41E61">
            <w:pPr>
              <w:jc w:val="center"/>
              <w:rPr>
                <w:sz w:val="20"/>
                <w:szCs w:val="20"/>
              </w:rPr>
            </w:pPr>
          </w:p>
        </w:tc>
        <w:tc>
          <w:tcPr>
            <w:tcW w:w="4576" w:type="dxa"/>
            <w:vAlign w:val="center"/>
          </w:tcPr>
          <w:p w:rsidR="004B170C" w:rsidRPr="008C32E0" w:rsidRDefault="004B170C" w:rsidP="00FD13D7">
            <w:pPr>
              <w:jc w:val="center"/>
              <w:rPr>
                <w:color w:val="000000"/>
                <w:sz w:val="16"/>
                <w:szCs w:val="16"/>
              </w:rPr>
            </w:pPr>
            <w:r>
              <w:rPr>
                <w:sz w:val="20"/>
                <w:szCs w:val="20"/>
              </w:rPr>
              <w:t>Conform Caietului de Sarcini</w:t>
            </w:r>
          </w:p>
        </w:tc>
        <w:tc>
          <w:tcPr>
            <w:tcW w:w="2127" w:type="dxa"/>
          </w:tcPr>
          <w:p w:rsidR="004B170C" w:rsidRPr="004E6492" w:rsidRDefault="004B170C" w:rsidP="00CE122E">
            <w:pPr>
              <w:jc w:val="center"/>
              <w:rPr>
                <w:b/>
                <w:sz w:val="20"/>
                <w:szCs w:val="20"/>
                <w:lang w:val="en-US"/>
              </w:rPr>
            </w:pPr>
          </w:p>
        </w:tc>
        <w:tc>
          <w:tcPr>
            <w:tcW w:w="1418" w:type="dxa"/>
          </w:tcPr>
          <w:p w:rsidR="004B170C" w:rsidRPr="004E6492" w:rsidRDefault="004B170C" w:rsidP="00CE122E">
            <w:pPr>
              <w:jc w:val="center"/>
              <w:rPr>
                <w:b/>
                <w:sz w:val="20"/>
                <w:szCs w:val="20"/>
                <w:lang w:val="en-US"/>
              </w:rPr>
            </w:pPr>
          </w:p>
        </w:tc>
      </w:tr>
    </w:tbl>
    <w:bookmarkEnd w:id="83"/>
    <w:p w:rsidR="004B170C" w:rsidRDefault="004B170C" w:rsidP="004B170C">
      <w:pPr>
        <w:shd w:val="clear" w:color="auto" w:fill="FFFFFF" w:themeFill="background1"/>
        <w:tabs>
          <w:tab w:val="right" w:pos="426"/>
        </w:tabs>
        <w:spacing w:before="120"/>
        <w:ind w:left="360"/>
        <w:jc w:val="center"/>
        <w:rPr>
          <w:b/>
          <w:noProof w:val="0"/>
          <w:sz w:val="20"/>
          <w:szCs w:val="20"/>
          <w:lang w:eastAsia="ru-RU"/>
        </w:rPr>
      </w:pPr>
      <w:r>
        <w:rPr>
          <w:b/>
          <w:noProof w:val="0"/>
          <w:sz w:val="20"/>
          <w:szCs w:val="20"/>
          <w:lang w:eastAsia="ru-RU"/>
        </w:rPr>
        <w:t>Caiet de Sarcini</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Acest sistem integrat este destinat gestionării imaginilor medicale conform standardului DICOM (Digital Imaging and Communications in Medicine). Sistemul este conceput ca o unitate coerentă, optimizată pentru recepția, stocarea, arhivarea, organizarea și distribuția eficientă și securizată a datelor imagistice medicale.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 xml:space="preserve">Arhitectura modulară a acestui sistem este fundamentată pe trei componente principale interconectate: </w:t>
      </w:r>
      <w:r w:rsidRPr="00962BDC">
        <w:rPr>
          <w:rFonts w:ascii="Times New Roman" w:eastAsia="Lexend" w:hAnsi="Times New Roman" w:cs="Times New Roman"/>
          <w:i/>
          <w:iCs/>
          <w:sz w:val="16"/>
          <w:szCs w:val="16"/>
          <w:lang w:val="en-US"/>
        </w:rPr>
        <w:t>Sistemul de Procesare, Sistemul de Stocare și Sistemul de Aplicație</w:t>
      </w:r>
      <w:r w:rsidRPr="00962BDC">
        <w:rPr>
          <w:rFonts w:ascii="Times New Roman" w:eastAsia="Lexend" w:hAnsi="Times New Roman" w:cs="Times New Roman"/>
          <w:sz w:val="16"/>
          <w:szCs w:val="16"/>
          <w:lang w:val="en-US"/>
        </w:rPr>
        <w:t>, fiecare cu setul său specific de capabilități și cerințe minime pentru a asigura performanța și scalabilitatea necesare într-un mediu clinic.</w:t>
      </w:r>
    </w:p>
    <w:p w:rsidR="004B170C" w:rsidRPr="004B170C" w:rsidRDefault="004B170C" w:rsidP="004B170C">
      <w:pPr>
        <w:pStyle w:val="normal0"/>
        <w:spacing w:before="240" w:after="240"/>
        <w:jc w:val="both"/>
        <w:rPr>
          <w:rFonts w:ascii="Times New Roman" w:eastAsia="Lexend" w:hAnsi="Times New Roman" w:cs="Times New Roman"/>
          <w:b/>
          <w:bCs/>
          <w:sz w:val="16"/>
          <w:szCs w:val="16"/>
          <w:lang w:val="en-US"/>
        </w:rPr>
      </w:pPr>
      <w:r w:rsidRPr="004B170C">
        <w:rPr>
          <w:rFonts w:ascii="Times New Roman" w:eastAsia="Lexend" w:hAnsi="Times New Roman" w:cs="Times New Roman"/>
          <w:b/>
          <w:bCs/>
          <w:sz w:val="16"/>
          <w:szCs w:val="16"/>
          <w:lang w:val="en-US"/>
        </w:rPr>
        <w:t>1. Sistemul de Procesare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Componenta de procesare a sistemului integrat constituie fundamentul operațional, având rolul de a executa sarcinile computaționale intensive asociate cu gestionarea datelor DICOM. Aceasta este dimensionată pentru a oferi o capacitate de calcul flotantă de minimum 6600 GFLOPS, susținută de un număr minim de 36 de nuclee de procesare. Eficiența accesului la date este asigurată de o memorie cache de nivel 3 (L3 Cache) de cel puțin 24 MB.</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4B170C">
        <w:rPr>
          <w:rFonts w:ascii="Times New Roman" w:eastAsia="Lexend" w:hAnsi="Times New Roman" w:cs="Times New Roman"/>
          <w:sz w:val="16"/>
          <w:szCs w:val="16"/>
          <w:lang w:val="en-US"/>
        </w:rPr>
        <w:t>Sistemul dispune de o capacitate de memorie RAM de minimum 256 GB, utilizând memorie cu corecție de erori (ECC) pentru a garanta integritatea informațiilor și stabilitatea operațională. Pentru stocarea locală a sistemului de operare, aplicațiilor și datelor temporare, se utilizează unități de stocare SAS (Serial Attached SCSI) optimizate pentru sarcini intensive de citire și scriere, oferind o capacitate totală de minimum 6.4 TB.</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 xml:space="preserve">Performanța acestui subsistem de stocare atinge viteze minime de citire secvențială de 84 GB/s și scriere secvențială de 21 GB/s, beneficiind de o memorie cache dedicată de cel puțin 16 GB. </w:t>
      </w:r>
      <w:r w:rsidRPr="004B170C">
        <w:rPr>
          <w:rFonts w:ascii="Times New Roman" w:eastAsia="Lexend" w:hAnsi="Times New Roman" w:cs="Times New Roman"/>
          <w:sz w:val="16"/>
          <w:szCs w:val="16"/>
          <w:lang w:val="en-US"/>
        </w:rPr>
        <w:t>Conectivitatea de rețea este asigurată prin minimum 4 porturi Ethernet de 1GbE și minimum 2 porturi Ethernet de 10GbE, iar redundanța alimentării este garantată prin prezența a cel puțin 2 surse de alimentare.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Un aspect crucial al acestei componente este posibilitatea de extindere nelimitată a puterii de calcul, permițând adaptarea la cerințe operaționale viitoare.</w:t>
      </w:r>
    </w:p>
    <w:p w:rsidR="004B170C" w:rsidRPr="004B170C" w:rsidRDefault="004B170C" w:rsidP="004B170C">
      <w:pPr>
        <w:pStyle w:val="normal0"/>
        <w:spacing w:before="240" w:after="240"/>
        <w:jc w:val="both"/>
        <w:rPr>
          <w:rFonts w:ascii="Times New Roman" w:eastAsia="Lexend" w:hAnsi="Times New Roman" w:cs="Times New Roman"/>
          <w:b/>
          <w:bCs/>
          <w:sz w:val="16"/>
          <w:szCs w:val="16"/>
          <w:lang w:val="en-US"/>
        </w:rPr>
      </w:pPr>
      <w:r w:rsidRPr="004B170C">
        <w:rPr>
          <w:rFonts w:ascii="Times New Roman" w:eastAsia="Lexend" w:hAnsi="Times New Roman" w:cs="Times New Roman"/>
          <w:b/>
          <w:bCs/>
          <w:sz w:val="16"/>
          <w:szCs w:val="16"/>
          <w:lang w:val="en-US"/>
        </w:rPr>
        <w:t>2. Sistemul de Stocare</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 xml:space="preserve">Sistemul de stocare este dedicat conservării pe termen lung și accesului de înaltă performanță la volumele masive de date imagistice DICOM. </w:t>
      </w:r>
      <w:r w:rsidRPr="004B170C">
        <w:rPr>
          <w:rFonts w:ascii="Times New Roman" w:eastAsia="Lexend" w:hAnsi="Times New Roman" w:cs="Times New Roman"/>
          <w:sz w:val="16"/>
          <w:szCs w:val="16"/>
          <w:lang w:val="en-US"/>
        </w:rPr>
        <w:t>Această componentă dispune de o capacitate de calcul flotantă de minimum 2500 GFLOPS și integrează cel puțin 24 de nuclee de procesare, dedicate gestionării eficiente a resurselor de stocare.</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4B170C">
        <w:rPr>
          <w:rFonts w:ascii="Times New Roman" w:eastAsia="Lexend" w:hAnsi="Times New Roman" w:cs="Times New Roman"/>
          <w:sz w:val="16"/>
          <w:szCs w:val="16"/>
          <w:lang w:val="en-US"/>
        </w:rPr>
        <w:t>O memorie cache de nivel 3 (L3 Cache) de minimum 30 MB și o memorie RAM de cel puțin 64 GB, utilizând memorie ECC, contribuie la optimizarea operațiunilor.</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4B170C">
        <w:rPr>
          <w:rFonts w:ascii="Times New Roman" w:eastAsia="Lexend" w:hAnsi="Times New Roman" w:cs="Times New Roman"/>
          <w:sz w:val="16"/>
          <w:szCs w:val="16"/>
          <w:lang w:val="en-US"/>
        </w:rPr>
        <w:t>Pentru arhivarea datelor, trebuie utilizate unități de stocare SAS optimizate pentru sarcini intensive, oferind o capacitate totală utilizabilă de minimum 312 TB, cu posibilitatea de creștere de minimum 500 TB.</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4B170C">
        <w:rPr>
          <w:rFonts w:ascii="Times New Roman" w:eastAsia="Lexend" w:hAnsi="Times New Roman" w:cs="Times New Roman"/>
          <w:sz w:val="16"/>
          <w:szCs w:val="16"/>
          <w:lang w:val="en-US"/>
        </w:rPr>
        <w:t>Performanța de acces la date este ridicată, cu viteze minime de citire secvențială de 132 GB/s și scriere secvențială de 33 GB/s. Un cache de stocare dedicat, cu o capacitate de minimum 6.4 TB și posibilitate de extindere de cel puțin 10% din capacitatea totală, accelerează accesul la datele frecvent solicitate.</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 xml:space="preserve">Performanțele de I/O ating cel puțin 1,379,000 IOPS la scriere aleatorie și 428,000 IOPS la citire aleatorie. </w:t>
      </w:r>
      <w:r w:rsidRPr="004B170C">
        <w:rPr>
          <w:rFonts w:ascii="Times New Roman" w:eastAsia="Lexend" w:hAnsi="Times New Roman" w:cs="Times New Roman"/>
          <w:sz w:val="16"/>
          <w:szCs w:val="16"/>
          <w:lang w:val="en-US"/>
        </w:rPr>
        <w:t>Conectivitatea de rețea include minimum 2 porturi Ethernet de 1GbE și minimum 1 porturi Ethernet de 10GbE.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Similar sistemului de procesare, redundanța alimentării este asigurată de cel puțin 2 surse de alimentare, iar posibilitatea de extindere nelimitată a capacității de stocare garantează scalabilitatea pe termen lung.</w:t>
      </w:r>
    </w:p>
    <w:p w:rsidR="004B170C" w:rsidRPr="004B170C" w:rsidRDefault="004B170C" w:rsidP="004B170C">
      <w:pPr>
        <w:pStyle w:val="normal0"/>
        <w:spacing w:before="240" w:after="240"/>
        <w:jc w:val="both"/>
        <w:rPr>
          <w:rFonts w:ascii="Times New Roman" w:eastAsia="Lexend" w:hAnsi="Times New Roman" w:cs="Times New Roman"/>
          <w:b/>
          <w:bCs/>
          <w:sz w:val="16"/>
          <w:szCs w:val="16"/>
          <w:lang w:val="en-US"/>
        </w:rPr>
      </w:pPr>
      <w:r w:rsidRPr="004B170C">
        <w:rPr>
          <w:rFonts w:ascii="Times New Roman" w:eastAsia="Lexend" w:hAnsi="Times New Roman" w:cs="Times New Roman"/>
          <w:b/>
          <w:bCs/>
          <w:sz w:val="16"/>
          <w:szCs w:val="16"/>
          <w:lang w:val="en-US"/>
        </w:rPr>
        <w:t>3. Aplicație Software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Componenta software a sistemului integrat are la bază un Sistem PACS (Picture Archiving and Communication System), a cărui funcționalitate principală acoperă primirea, stocarea, arhivarea și distribuirea imaginilor DICOM. Sistemul asigură compartimentalizarea, indexarea și organizarea eficientă a resurselor DICOM pe pacienți, studii, serii și imagini, optimizând stocarea și căutarea datelor asociate. Suportul complet pentru toate tag-urile metadata DICOM permite gestionarea detaliată și flexibilă a informațiilor. Sistemul implementează comenzile esențiale ale protocolului DICOM — C-ECHO, C-MOVE, C-FIND, C-STORE, Query/Retrieve și C-GET — și este compatibil cu date provenite din multiple modalități imagistice (CT, US, NM, MR, XA, MG). La nivel de infrastructură, sistemul include un sistem relațional de baze de date performant și extensibil, care asigură consistența, scalabilitatea și viteza operațiunilor de stocare și interogare a datelor medicale.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Modulul de import al aplicației permite încărcarea fișierelor DICOM în toate formatele suportate, oferind flexibilitate în gestionarea surselor de date externe. Sistemul suportă atât încărcarea fișierelor individuale, cât și încărcarea simultană a multiple fișiere. De asemenea, este implementată funcționalitatea de încărcare a directoarelor complete; în acest scenariu, sistemul scanează automat structura directorului, identifică fișierele DICOM valide și le plasează automat în coada de procesare. Interfața utilizator dedicată acestei funcții este intuitivă, oferind vizibilitate clară asupra progresului și afișând statusul de procesare pentru fiecare fișier în parte.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Sistemul oferă un set amplu de funcționalități software avansate. Acesta include filtrare avansată a pacienților și studiilor, cu opțiuni precum filtrarea după interval de date ale studiului, după tipurile de modalitate conținute în seriile unui studiu, precum și filtre extinse pentru informații de bază, date demografice și multiple tipuri de date calendaristice. Procesarea inteligentă a datelor primite detectează și previne duplicarea informațiilor, menținând o evidență completă a tuturor modificărilor și actualizărilor realizate asupra pacienților sau studiilor, ceea ce permite auditare și trasabilitate completă.</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Dashboard-urile analitice detaliate, disponibile la nivel de pacient și studiu, oferă o experiență de vizualizare intuitivă și coerentă. Acestea integrează un complement elegant pentru procesarea tag-urilor DICOM personalizate, permițând afișarea informațiilor adiționale precum greutate, înălțime, status de fumat sau sarcină. Sistemul gestionează de asemenea procesarea internă a tipurilor de modalitate dintr-un studiu, permițând listarea acestora fără a necesita tag-uri suplimentare la nivelul studiului. Vizualizarea studiilor este posibilă atât local, cât și prin soluții web dedicate imagisticii medicale, oferind flexibilitate deplină în interpretarea și analiza datelor.</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4B170C">
        <w:rPr>
          <w:rFonts w:ascii="Times New Roman" w:eastAsia="Lexend" w:hAnsi="Times New Roman" w:cs="Times New Roman"/>
          <w:sz w:val="16"/>
          <w:szCs w:val="16"/>
          <w:lang w:val="en-US"/>
        </w:rPr>
        <w:t>Sistemul include legături inteligente între pacienți și studii, care facilitează navigarea rapidă între entitățile corelate, precum și branding specific instituției sau site-ului, cu elemente vizuale și stiluri adaptabile pentru o experiență personalizată. Încărcarea directă a fișierelor și directoarelor DICOM din stocarea locală se realizează printr-un mecanism de procesare algoritmică a folderelor, care asigură identificarea și prelucrarea tuturor fișierelor DICOM valide, filtrând automat formatele necorespunzătoare.</w:t>
      </w:r>
    </w:p>
    <w:p w:rsidR="004B170C" w:rsidRPr="004B170C" w:rsidRDefault="004B170C" w:rsidP="004B170C">
      <w:pPr>
        <w:pStyle w:val="normal0"/>
        <w:spacing w:before="240" w:after="240"/>
        <w:jc w:val="both"/>
        <w:rPr>
          <w:rFonts w:ascii="Times New Roman" w:eastAsia="Lexend" w:hAnsi="Times New Roman" w:cs="Times New Roman"/>
          <w:sz w:val="16"/>
          <w:szCs w:val="16"/>
          <w:lang w:val="en-US"/>
        </w:rPr>
      </w:pPr>
      <w:r w:rsidRPr="004B170C">
        <w:rPr>
          <w:rFonts w:ascii="Times New Roman" w:eastAsia="Lexend" w:hAnsi="Times New Roman" w:cs="Times New Roman"/>
          <w:sz w:val="16"/>
          <w:szCs w:val="16"/>
          <w:lang w:val="en-US"/>
        </w:rPr>
        <w:t>Configurarea intuitivă a modalităților DICOM se face printr-o interfață ușor de utilizat, incluzând permisiuni configurabile la nivel atomic pentru fiecare metodă DICOM și testare rapidă a conexiunilor pentru verificarea disponibilității fiecărei modalități. Sistemul de gestionare a utilizatorilor și autentificare pe bază de roluri oferă un control granular asupra accesului la resurse, implementând autentificare și autorizare cu două niveluri de verificare a sesiunii pentru securitatea accesului la pagini, precum și gateway-level authorization pentru protejarea serviciilor și resurselor suplimentare.</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Constructorul avansat de interogări DICOM (Modality Query Builder) permite crearea de interogări complexe la nivel de pacient și studiu, cu rezultate analizabile dintr-o interfață intuitivă, care include opțiuni de auto-grupare, filtrare și sortare pentru eficiență maximă. Retragerea asincronă a studiilor DICOM din modalități asigură performanță și scalabilitate, cu progresul și rezultatele fiecărei operațiuni afișate în timp real; sistemul grupează aceste procese după starea și caracteristicile lor funcționale, facilitând monitorizarea.</w:t>
      </w:r>
    </w:p>
    <w:p w:rsidR="004B170C" w:rsidRPr="00962BDC" w:rsidRDefault="004B170C" w:rsidP="004B170C">
      <w:pPr>
        <w:pStyle w:val="normal0"/>
        <w:spacing w:before="240" w:after="240"/>
        <w:jc w:val="both"/>
        <w:rPr>
          <w:rFonts w:ascii="Times New Roman" w:eastAsia="Lexend" w:hAnsi="Times New Roman" w:cs="Times New Roman"/>
          <w:sz w:val="16"/>
          <w:szCs w:val="16"/>
          <w:lang w:val="en-US"/>
        </w:rPr>
      </w:pPr>
      <w:r w:rsidRPr="00962BDC">
        <w:rPr>
          <w:rFonts w:ascii="Times New Roman" w:eastAsia="Lexend" w:hAnsi="Times New Roman" w:cs="Times New Roman"/>
          <w:sz w:val="16"/>
          <w:szCs w:val="16"/>
          <w:lang w:val="en-US"/>
        </w:rPr>
        <w:t>Sistemul PACS include mecanisme robuste de autentificare, compresie DICOM, criptare TLS, gestionare de log-uri și configurare avansată a parametrilor de funcționare (porturi, AET, permisiuni, dicționar de tag-uri). Un API REST extensibil oferă posibilitatea de integrare programatică cu alte aplicații, permițând gestionarea completă a entităților PACS (pacienți, studii, serii, imagini), inițierea comenzilor DICOM, preluarea log-urilor, listarea modificărilor și analizarea statisticilor. Interfața de utilizare este concepută pentru a fi elegantă, intuitivă și adaptabilă, oferind acces rapid la toate funcționalitățile majore și suportând atât platforme web, cât și desktop.</w:t>
      </w:r>
    </w:p>
    <w:p w:rsidR="004B170C" w:rsidRPr="004B170C" w:rsidRDefault="004B170C" w:rsidP="00FD36C1">
      <w:pPr>
        <w:rPr>
          <w:lang w:val="en-US"/>
        </w:rPr>
      </w:pPr>
    </w:p>
    <w:p w:rsidR="004B170C" w:rsidRDefault="004B170C" w:rsidP="00FD36C1"/>
    <w:p w:rsidR="004B170C" w:rsidRDefault="004B170C"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4B170C" w:rsidRDefault="004B170C"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4B170C">
            <w:r>
              <w:t>Obiectul achiziției</w:t>
            </w:r>
            <w:r w:rsidRPr="00C00499">
              <w:t>:</w:t>
            </w:r>
            <w:r>
              <w:t xml:space="preserve">  </w:t>
            </w:r>
            <w:r w:rsidR="004B170C" w:rsidRPr="004B170C">
              <w:rPr>
                <w:noProof w:val="0"/>
                <w:u w:val="single"/>
                <w:lang w:val="it-IT" w:eastAsia="ru-RU"/>
              </w:rPr>
              <w:t>Echipament de stocare și vizualizare a imaginelor de tip DICOM (PACS)</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005DF0" w:rsidRPr="000B7093" w:rsidTr="00005DF0">
        <w:trPr>
          <w:cantSplit/>
          <w:trHeight w:val="443"/>
        </w:trPr>
        <w:tc>
          <w:tcPr>
            <w:tcW w:w="630" w:type="dxa"/>
            <w:textDirection w:val="btLr"/>
            <w:vAlign w:val="center"/>
          </w:tcPr>
          <w:p w:rsidR="00005DF0" w:rsidRDefault="00005DF0" w:rsidP="00640B70">
            <w:pPr>
              <w:ind w:left="113" w:right="113"/>
              <w:jc w:val="center"/>
              <w:rPr>
                <w:color w:val="555555"/>
                <w:sz w:val="20"/>
                <w:szCs w:val="20"/>
                <w:shd w:val="clear" w:color="auto" w:fill="FFFEEE"/>
              </w:rPr>
            </w:pPr>
          </w:p>
          <w:p w:rsidR="00005DF0" w:rsidRPr="000B7093" w:rsidRDefault="004B170C" w:rsidP="00640B70">
            <w:pPr>
              <w:ind w:left="113" w:right="113"/>
              <w:jc w:val="center"/>
              <w:rPr>
                <w:color w:val="000000"/>
                <w:sz w:val="16"/>
                <w:szCs w:val="16"/>
              </w:rPr>
            </w:pPr>
            <w:r w:rsidRPr="002B69E8">
              <w:rPr>
                <w:color w:val="555555"/>
                <w:sz w:val="20"/>
                <w:szCs w:val="20"/>
                <w:shd w:val="clear" w:color="auto" w:fill="FFFEEE"/>
              </w:rPr>
              <w:t>48820000-2</w:t>
            </w:r>
          </w:p>
        </w:tc>
        <w:tc>
          <w:tcPr>
            <w:tcW w:w="3978" w:type="dxa"/>
            <w:vAlign w:val="center"/>
          </w:tcPr>
          <w:p w:rsidR="00005DF0" w:rsidRPr="008C32E0" w:rsidRDefault="004B170C" w:rsidP="00FD13D7">
            <w:pPr>
              <w:jc w:val="center"/>
              <w:rPr>
                <w:color w:val="000000"/>
                <w:sz w:val="16"/>
                <w:szCs w:val="16"/>
              </w:rPr>
            </w:pPr>
            <w:r w:rsidRPr="0086184E">
              <w:rPr>
                <w:noProof w:val="0"/>
                <w:sz w:val="20"/>
                <w:szCs w:val="20"/>
                <w:lang w:val="it-IT" w:eastAsia="ru-RU"/>
              </w:rPr>
              <w:t>Echipament de stocare și vizualizare a imaginelor de tip DICOM (PACS)</w:t>
            </w:r>
          </w:p>
        </w:tc>
        <w:tc>
          <w:tcPr>
            <w:tcW w:w="1170" w:type="dxa"/>
            <w:vAlign w:val="center"/>
          </w:tcPr>
          <w:p w:rsidR="00005DF0" w:rsidRPr="008C32E0" w:rsidRDefault="00005DF0" w:rsidP="00FD13D7">
            <w:pPr>
              <w:jc w:val="center"/>
              <w:rPr>
                <w:color w:val="000000"/>
                <w:sz w:val="16"/>
                <w:szCs w:val="16"/>
              </w:rPr>
            </w:pPr>
            <w:r w:rsidRPr="008C32E0">
              <w:rPr>
                <w:color w:val="000000"/>
                <w:sz w:val="16"/>
                <w:szCs w:val="16"/>
              </w:rPr>
              <w:t>1</w:t>
            </w:r>
          </w:p>
        </w:tc>
        <w:tc>
          <w:tcPr>
            <w:tcW w:w="1158" w:type="dxa"/>
            <w:vAlign w:val="center"/>
          </w:tcPr>
          <w:p w:rsidR="00005DF0" w:rsidRPr="008C32E0" w:rsidRDefault="00005DF0" w:rsidP="00FD13D7">
            <w:pPr>
              <w:jc w:val="center"/>
              <w:rPr>
                <w:color w:val="000000"/>
                <w:sz w:val="16"/>
                <w:szCs w:val="16"/>
              </w:rPr>
            </w:pPr>
            <w:r w:rsidRPr="008C32E0">
              <w:rPr>
                <w:color w:val="000000"/>
                <w:sz w:val="16"/>
                <w:szCs w:val="16"/>
              </w:rPr>
              <w:t>buc</w:t>
            </w:r>
          </w:p>
        </w:tc>
        <w:tc>
          <w:tcPr>
            <w:tcW w:w="945" w:type="dxa"/>
            <w:vAlign w:val="center"/>
          </w:tcPr>
          <w:p w:rsidR="00005DF0" w:rsidRPr="004C09AF" w:rsidRDefault="00005DF0" w:rsidP="0088528A">
            <w:pPr>
              <w:jc w:val="center"/>
              <w:rPr>
                <w:color w:val="000000"/>
                <w:sz w:val="16"/>
                <w:szCs w:val="16"/>
              </w:rPr>
            </w:pPr>
          </w:p>
        </w:tc>
        <w:tc>
          <w:tcPr>
            <w:tcW w:w="1061" w:type="dxa"/>
            <w:vAlign w:val="center"/>
          </w:tcPr>
          <w:p w:rsidR="00005DF0" w:rsidRPr="004C09AF" w:rsidRDefault="00005DF0" w:rsidP="0088528A">
            <w:pPr>
              <w:jc w:val="center"/>
              <w:rPr>
                <w:color w:val="000000"/>
                <w:sz w:val="16"/>
                <w:szCs w:val="16"/>
              </w:rPr>
            </w:pPr>
          </w:p>
        </w:tc>
        <w:tc>
          <w:tcPr>
            <w:tcW w:w="1059" w:type="dxa"/>
            <w:vAlign w:val="center"/>
          </w:tcPr>
          <w:p w:rsidR="00005DF0" w:rsidRPr="004C09AF" w:rsidRDefault="00005DF0" w:rsidP="0088528A">
            <w:pPr>
              <w:jc w:val="center"/>
              <w:rPr>
                <w:color w:val="000000"/>
                <w:sz w:val="16"/>
                <w:szCs w:val="16"/>
              </w:rPr>
            </w:pPr>
          </w:p>
        </w:tc>
        <w:tc>
          <w:tcPr>
            <w:tcW w:w="1059" w:type="dxa"/>
          </w:tcPr>
          <w:p w:rsidR="00005DF0" w:rsidRPr="000B7093" w:rsidRDefault="00005DF0" w:rsidP="0088528A">
            <w:pPr>
              <w:jc w:val="center"/>
              <w:rPr>
                <w:color w:val="000000"/>
                <w:sz w:val="16"/>
                <w:szCs w:val="16"/>
                <w:lang w:val="en-US"/>
              </w:rPr>
            </w:pPr>
          </w:p>
        </w:tc>
        <w:tc>
          <w:tcPr>
            <w:tcW w:w="1378" w:type="dxa"/>
            <w:vAlign w:val="center"/>
          </w:tcPr>
          <w:p w:rsidR="00005DF0" w:rsidRPr="00AD6116" w:rsidRDefault="00005DF0" w:rsidP="004B170C">
            <w:pPr>
              <w:jc w:val="center"/>
              <w:rPr>
                <w:color w:val="000000"/>
                <w:sz w:val="16"/>
                <w:szCs w:val="16"/>
                <w:lang w:val="en-US"/>
              </w:rPr>
            </w:pPr>
            <w:r w:rsidRPr="00AD6116">
              <w:rPr>
                <w:i/>
                <w:sz w:val="16"/>
                <w:szCs w:val="16"/>
                <w:u w:val="single"/>
                <w:lang w:val="it-IT"/>
              </w:rPr>
              <w:t>În</w:t>
            </w:r>
            <w:r w:rsidRPr="00AD6116">
              <w:rPr>
                <w:i/>
                <w:sz w:val="16"/>
                <w:szCs w:val="16"/>
                <w:u w:val="single"/>
                <w:lang w:val="en-US"/>
              </w:rPr>
              <w:t xml:space="preserve"> decurs de </w:t>
            </w:r>
            <w:r w:rsidR="004B170C">
              <w:rPr>
                <w:i/>
                <w:sz w:val="16"/>
                <w:szCs w:val="16"/>
                <w:u w:val="single"/>
                <w:lang w:val="en-US"/>
              </w:rPr>
              <w:t>6</w:t>
            </w:r>
            <w:r w:rsidRPr="00AD6116">
              <w:rPr>
                <w:i/>
                <w:sz w:val="16"/>
                <w:szCs w:val="16"/>
                <w:u w:val="single"/>
                <w:lang w:val="en-US"/>
              </w:rPr>
              <w:t xml:space="preserve">0 zile de la solicitare IMSP Institutul de Neurologie și Neurochirurgie </w:t>
            </w:r>
            <w:r w:rsidRPr="00AD6116">
              <w:rPr>
                <w:i/>
                <w:sz w:val="16"/>
                <w:szCs w:val="16"/>
                <w:u w:val="single"/>
                <w:lang w:eastAsia="ru-RU"/>
              </w:rPr>
              <w:t>„DIOMID GHERMAN”</w:t>
            </w:r>
            <w:r w:rsidRPr="00AD6116">
              <w:rPr>
                <w:i/>
                <w:sz w:val="16"/>
                <w:szCs w:val="16"/>
                <w:u w:val="single"/>
                <w:lang w:val="en-US"/>
              </w:rPr>
              <w:t>, conform necesităților acestuia, pe parcuesul anului 202</w:t>
            </w:r>
            <w:r>
              <w:rPr>
                <w:i/>
                <w:sz w:val="16"/>
                <w:szCs w:val="16"/>
                <w:u w:val="single"/>
                <w:lang w:val="en-US"/>
              </w:rPr>
              <w:t>6</w:t>
            </w:r>
            <w:r w:rsidRPr="00AD6116">
              <w:rPr>
                <w:i/>
                <w:sz w:val="16"/>
                <w:szCs w:val="16"/>
                <w:u w:val="single"/>
                <w:lang w:val="en-US"/>
              </w:rPr>
              <w:t>,</w:t>
            </w:r>
            <w:r w:rsidRPr="00AD6116">
              <w:rPr>
                <w:b/>
                <w:i/>
                <w:spacing w:val="-4"/>
                <w:sz w:val="16"/>
                <w:szCs w:val="16"/>
                <w:u w:val="single"/>
              </w:rPr>
              <w:t xml:space="preserve"> </w:t>
            </w:r>
            <w:r w:rsidRPr="00AD6116">
              <w:rPr>
                <w:i/>
                <w:spacing w:val="-4"/>
                <w:sz w:val="16"/>
                <w:szCs w:val="16"/>
                <w:u w:val="single"/>
              </w:rPr>
              <w:t>INCOTERMS DDP</w:t>
            </w:r>
          </w:p>
        </w:tc>
        <w:tc>
          <w:tcPr>
            <w:tcW w:w="2070" w:type="dxa"/>
            <w:textDirection w:val="btLr"/>
            <w:vAlign w:val="center"/>
          </w:tcPr>
          <w:p w:rsidR="00005DF0" w:rsidRPr="00640B70" w:rsidRDefault="00005DF0" w:rsidP="00005DF0">
            <w:pPr>
              <w:ind w:left="113" w:right="113"/>
              <w:jc w:val="center"/>
              <w:rPr>
                <w:bCs/>
                <w:iCs/>
                <w:sz w:val="16"/>
                <w:szCs w:val="16"/>
              </w:rPr>
            </w:pPr>
            <w:r w:rsidRPr="005535EF">
              <w:rPr>
                <w:b/>
                <w:sz w:val="16"/>
                <w:szCs w:val="16"/>
              </w:rPr>
              <w:t>MD92ML022510000000003804</w:t>
            </w:r>
          </w:p>
        </w:tc>
      </w:tr>
    </w:tbl>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B170C" w:rsidRPr="004B170C" w:rsidRDefault="004B170C" w:rsidP="00E91463">
            <w:pPr>
              <w:jc w:val="center"/>
              <w:rPr>
                <w:b/>
                <w:i/>
                <w:noProof w:val="0"/>
                <w:u w:val="single"/>
                <w:lang w:val="it-IT" w:eastAsia="ru-RU"/>
              </w:rPr>
            </w:pPr>
            <w:r w:rsidRPr="004B170C">
              <w:rPr>
                <w:b/>
                <w:noProof w:val="0"/>
                <w:u w:val="single"/>
                <w:lang w:val="it-IT" w:eastAsia="ru-RU"/>
              </w:rPr>
              <w:t>Echipament de stocare și vizualizare a imaginelor de tip DICOM (PACS)</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4B170C" w:rsidRPr="004B170C">
              <w:rPr>
                <w:noProof w:val="0"/>
                <w:u w:val="single"/>
                <w:lang w:val="it-IT" w:eastAsia="ru-RU"/>
              </w:rPr>
              <w:t xml:space="preserve"> Echipament de stocare și vizualizare a imaginelor de tip DICOM (PACS)</w:t>
            </w:r>
            <w:r w:rsidR="00D92CBD">
              <w:rPr>
                <w:i/>
              </w:rPr>
              <w:t xml:space="preserve"> </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4B170C" w:rsidRPr="004B170C">
              <w:rPr>
                <w:i/>
                <w:color w:val="555555"/>
                <w:shd w:val="clear" w:color="auto" w:fill="FFFEEE"/>
              </w:rPr>
              <w:t>48820000-2</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005DF0">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CE122E">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4B170C" w:rsidRPr="004B170C">
              <w:rPr>
                <w:noProof w:val="0"/>
                <w:u w:val="single"/>
                <w:lang w:val="it-IT" w:eastAsia="ru-RU"/>
              </w:rPr>
              <w:t>Echipament de stocare și vizualizare a imaginelor de tip DICOM (PACS)</w:t>
            </w:r>
            <w:r w:rsidR="004B170C">
              <w:rPr>
                <w:i/>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E54123">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4B170C">
              <w:rPr>
                <w:i/>
                <w:u w:val="single"/>
                <w:lang w:val="en-US"/>
              </w:rPr>
              <w:t>6</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005DF0">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005DF0">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2F45" w:rsidRDefault="00AF2F45" w:rsidP="00A20ACF">
      <w:r>
        <w:separator/>
      </w:r>
    </w:p>
  </w:endnote>
  <w:endnote w:type="continuationSeparator" w:id="1">
    <w:p w:rsidR="00AF2F45" w:rsidRDefault="00AF2F4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Lexend">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702005">
        <w:pPr>
          <w:pStyle w:val="Footer"/>
          <w:jc w:val="right"/>
        </w:pPr>
        <w:fldSimple w:instr=" PAGE   \* MERGEFORMAT ">
          <w:r w:rsidR="00AF2F45">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2F45" w:rsidRDefault="00AF2F45" w:rsidP="00A20ACF">
      <w:r>
        <w:separator/>
      </w:r>
    </w:p>
  </w:footnote>
  <w:footnote w:type="continuationSeparator" w:id="1">
    <w:p w:rsidR="00AF2F45" w:rsidRDefault="00AF2F4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5DF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56B7E"/>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1D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C4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170C"/>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329"/>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005"/>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7B9"/>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15C2"/>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36"/>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2F45"/>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122E"/>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38C9"/>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5412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A43"/>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4B170C"/>
    <w:pPr>
      <w:spacing w:after="0" w:line="276" w:lineRule="auto"/>
    </w:pPr>
    <w:rPr>
      <w:rFonts w:ascii="Arial" w:eastAsia="Arial" w:hAnsi="Arial" w:cs="Arial"/>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34</Pages>
  <Words>14508</Words>
  <Characters>82696</Characters>
  <Application>Microsoft Office Word</Application>
  <DocSecurity>0</DocSecurity>
  <Lines>689</Lines>
  <Paragraphs>194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17</cp:revision>
  <cp:lastPrinted>2021-03-10T08:12:00Z</cp:lastPrinted>
  <dcterms:created xsi:type="dcterms:W3CDTF">2022-11-09T07:08:00Z</dcterms:created>
  <dcterms:modified xsi:type="dcterms:W3CDTF">2026-04-28T05:22:00Z</dcterms:modified>
</cp:coreProperties>
</file>