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5" w:rsidRDefault="002010C8" w:rsidP="007E2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2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2010C8" w:rsidRPr="00083F07" w:rsidRDefault="002010C8" w:rsidP="007E2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2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 DE PARTICIPARE</w:t>
      </w:r>
    </w:p>
    <w:p w:rsidR="00A77130" w:rsidRPr="00083F07" w:rsidRDefault="00A77130" w:rsidP="00A771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 w:rsidRPr="00083F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Lucrări de reparaţii </w:t>
      </w:r>
      <w:r w:rsidR="006C67D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curente</w:t>
      </w:r>
      <w:r w:rsidRPr="00083F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A77130" w:rsidRPr="00083F07" w:rsidRDefault="00A77130" w:rsidP="00A771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083F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la Postul Vamal Ocnița </w:t>
      </w:r>
      <w:r w:rsidRPr="00083F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  <w:lang w:val="en-US"/>
        </w:rPr>
        <w:t>2 (PVFI, rutier)</w:t>
      </w:r>
    </w:p>
    <w:p w:rsidR="00145CBE" w:rsidRDefault="00145CBE" w:rsidP="00145C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CBE" w:rsidRPr="00145CBE" w:rsidRDefault="00145CBE" w:rsidP="00145C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145CB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prin procedura de achiziție: Licitație deschisă</w:t>
      </w:r>
    </w:p>
    <w:p w:rsidR="00A77130" w:rsidRPr="00083F07" w:rsidRDefault="00A77130" w:rsidP="00745F8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Denumirea autorității contractante: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Biroul Vamal NORD</w:t>
      </w:r>
    </w:p>
    <w:p w:rsidR="002010C8" w:rsidRPr="00083F07" w:rsidRDefault="002010C8" w:rsidP="002912A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IDNO: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1016601000245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MD-3100, municipiul Bălți, str. Cicicalo, 1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Numărul de telefon/fax: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Serviciul achiziții publice și dotări – (+373) 78783285</w:t>
      </w:r>
    </w:p>
    <w:p w:rsidR="002010C8" w:rsidRPr="00083F07" w:rsidRDefault="002010C8" w:rsidP="002912A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de e-mail și de internet a autorității contractante: </w:t>
      </w:r>
      <w:hyperlink r:id="rId7" w:history="1">
        <w:r w:rsidR="00F82817" w:rsidRPr="00083F07">
          <w:rPr>
            <w:rStyle w:val="af"/>
            <w:rFonts w:ascii="Times New Roman" w:hAnsi="Times New Roman"/>
            <w:color w:val="auto"/>
            <w:szCs w:val="24"/>
            <w:lang w:val="en-US"/>
          </w:rPr>
          <w:t>sap.nord@customs.gov.md</w:t>
        </w:r>
      </w:hyperlink>
      <w:r w:rsidR="00F82817" w:rsidRPr="00083F07">
        <w:rPr>
          <w:lang w:val="en-US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de e-mail sau de internet de la care se va putea obține accesul la documentația de atribuire: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documentația de atribuire este anexată în cadrul procedurii în SIA RSAP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 se aplică</w:t>
      </w:r>
    </w:p>
    <w:p w:rsidR="00F9607C" w:rsidRPr="00083F07" w:rsidRDefault="00F9607C" w:rsidP="00F9607C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Cumpărătorul invită operatorii economici interesați, care îi pot satisface necesitățile, să participe la procedura de achiziție privind executarea următoarelor lucrări:</w:t>
      </w:r>
    </w:p>
    <w:p w:rsidR="00F9607C" w:rsidRPr="00083F07" w:rsidRDefault="00F9607C" w:rsidP="00F9607C">
      <w:pPr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567"/>
        <w:gridCol w:w="851"/>
        <w:gridCol w:w="2835"/>
        <w:gridCol w:w="850"/>
        <w:gridCol w:w="851"/>
        <w:gridCol w:w="2410"/>
        <w:gridCol w:w="1530"/>
      </w:tblGrid>
      <w:tr w:rsidR="002010C8" w:rsidRPr="00083F07" w:rsidTr="00C2603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07C" w:rsidRPr="00083F07" w:rsidRDefault="00F9607C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010C8" w:rsidP="00F9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Denumirea </w:t>
            </w:r>
            <w:r w:rsidR="00F9607C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lucr</w:t>
            </w:r>
            <w:r w:rsidR="00F9607C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A7656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A7656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Cantita</w:t>
            </w:r>
            <w:r w:rsidR="002010C8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Specificații tehnice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Valoarea estimată, fără TVA</w:t>
            </w:r>
          </w:p>
        </w:tc>
      </w:tr>
      <w:tr w:rsidR="00FA48B1" w:rsidRPr="00083F07" w:rsidTr="00C2603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9607C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07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9607C" w:rsidP="005F14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Lucrări de reparaţii </w:t>
            </w:r>
            <w:r w:rsidR="007B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curente</w:t>
            </w:r>
            <w:r w:rsidRPr="00083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8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Postul Vamal Ocnița </w:t>
            </w:r>
            <w:r w:rsidRPr="00083F0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2 (PVFI, rutier)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9607C" w:rsidP="00F9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Conform Caietului de sarcini</w:t>
            </w:r>
            <w:r w:rsidRPr="0008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8B1" w:rsidRPr="0008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expus în documentația 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B1" w:rsidRPr="00C26036" w:rsidRDefault="00C26036" w:rsidP="007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  <w:r w:rsidR="0074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74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  <w:r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,00 </w:t>
            </w:r>
            <w:r w:rsidR="00FA48B1"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MDL</w:t>
            </w:r>
          </w:p>
        </w:tc>
      </w:tr>
    </w:tbl>
    <w:p w:rsidR="00255E64" w:rsidRPr="00083F07" w:rsidRDefault="00255E64" w:rsidP="00255E6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În cazul în care contractul este împărțit pe loturi un operator economic poate depune oferta (se va selecta): </w:t>
      </w:r>
      <w:r w:rsidR="000F6755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Admiterea sau interzicerea ofertelor alternative: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admite</w:t>
      </w:r>
    </w:p>
    <w:p w:rsidR="002010C8" w:rsidRPr="00083F07" w:rsidRDefault="002010C8" w:rsidP="0001615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Termenii și condițiile de executare solicitați: </w:t>
      </w:r>
      <w:r w:rsidR="000F6755" w:rsidRPr="00083F07">
        <w:rPr>
          <w:rFonts w:ascii="Times New Roman" w:hAnsi="Times New Roman" w:cs="Times New Roman"/>
          <w:sz w:val="24"/>
          <w:szCs w:val="24"/>
          <w:lang w:val="en-US"/>
        </w:rPr>
        <w:t>120 zile din data înregistrării contractului de antrepriză la Trezoreria de Stat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 de valabilitate a contractului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31.12.20</w:t>
      </w:r>
      <w:r w:rsidR="003E09CD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2</w:t>
      </w:r>
      <w:r w:rsidR="00E21F7C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1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Contract de achiziție rezervat atelierelor protejate sau că acesta poate fi executat numai în cadrul unor programe de angajare protejată (după caz):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Prestarea serviciului este rezervată unei anumite profesii în temeiul unor acte cu putere de lege sau al unor acte administrative (după caz):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</w:t>
      </w:r>
    </w:p>
    <w:p w:rsidR="00A11FDF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</w:t>
      </w: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NOTĂ:   Toate actele/cerințele de calificare enumărate mai jos trebuie să fie obligatoriu plasate în SIA RSAP Mtender concomitent cu oferta comercială</w:t>
      </w:r>
      <w:r w:rsidRPr="00083F07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tbl>
      <w:tblPr>
        <w:tblStyle w:val="a5"/>
        <w:tblW w:w="9776" w:type="dxa"/>
        <w:tblLook w:val="04A0"/>
      </w:tblPr>
      <w:tblGrid>
        <w:gridCol w:w="704"/>
        <w:gridCol w:w="3968"/>
        <w:gridCol w:w="3687"/>
        <w:gridCol w:w="1417"/>
      </w:tblGrid>
      <w:tr w:rsidR="005361D6" w:rsidRPr="00083F07" w:rsidTr="00A932ED">
        <w:tc>
          <w:tcPr>
            <w:tcW w:w="704" w:type="dxa"/>
            <w:vAlign w:val="center"/>
          </w:tcPr>
          <w:p w:rsidR="005361D6" w:rsidRPr="00083F07" w:rsidRDefault="005361D6" w:rsidP="005361D6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083F07">
              <w:rPr>
                <w:rFonts w:ascii="Times New Roman" w:hAnsi="Times New Roman" w:cs="Times New Roman"/>
                <w:b/>
                <w:spacing w:val="-4"/>
              </w:rPr>
              <w:t>Nr.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Style w:val="af0"/>
                <w:b/>
                <w:iCs/>
                <w:szCs w:val="22"/>
              </w:rPr>
              <w:t>Denumirea</w:t>
            </w:r>
            <w:r w:rsidRPr="00083F07">
              <w:rPr>
                <w:rFonts w:ascii="Times New Roman" w:hAnsi="Times New Roman"/>
                <w:b/>
                <w:sz w:val="22"/>
                <w:szCs w:val="22"/>
              </w:rPr>
              <w:t xml:space="preserve"> documentului/cerințelor</w:t>
            </w:r>
          </w:p>
        </w:tc>
        <w:tc>
          <w:tcPr>
            <w:tcW w:w="3687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Style w:val="af0"/>
                <w:b/>
                <w:iCs/>
                <w:szCs w:val="22"/>
              </w:rPr>
              <w:t>Mod de demonstrare a îndeplinirii cerinţei:</w:t>
            </w:r>
          </w:p>
        </w:tc>
        <w:tc>
          <w:tcPr>
            <w:tcW w:w="1417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Fonts w:ascii="Times New Roman" w:hAnsi="Times New Roman"/>
                <w:b/>
                <w:sz w:val="22"/>
                <w:szCs w:val="22"/>
              </w:rPr>
              <w:t>Obl.</w:t>
            </w:r>
          </w:p>
          <w:p w:rsidR="005361D6" w:rsidRPr="00083F07" w:rsidRDefault="005361D6" w:rsidP="00A932ED">
            <w:pPr>
              <w:pStyle w:val="a9"/>
              <w:ind w:left="-113" w:right="-11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3F07">
              <w:rPr>
                <w:rFonts w:ascii="Times New Roman" w:hAnsi="Times New Roman"/>
                <w:b/>
                <w:i/>
                <w:sz w:val="22"/>
                <w:szCs w:val="22"/>
              </w:rPr>
              <w:t>Da /Nu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DUAE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Neîncadrarea în situațiile ce determină excluderea de la procedura de atribuire, ce vin în aplicarea art. 18 din Legea nr. 131 din 03.07.2015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  <w:i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83F07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Neimplicarea în practici frauduloase și de corupere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  <w:i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83F07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Dovada înregistrării persoanei juridice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Certificat/decizie de înregistrare a întreprinderii/extras din Registrul de Stat al persoanelor juridice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Îndeplinirea obligaţiilor de plată a impozitelor, taxelor şi contribuţiilor de asigurări sociale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Certificat de efectuare sistematică a plăţii impozitelor, contribuţiilor eliberat de Inspectoratul Fiscal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DA3F85">
        <w:tc>
          <w:tcPr>
            <w:tcW w:w="704" w:type="dxa"/>
          </w:tcPr>
          <w:p w:rsidR="005361D6" w:rsidRPr="00083F07" w:rsidRDefault="005361D6" w:rsidP="0090449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904499">
            <w:pPr>
              <w:rPr>
                <w:rStyle w:val="10"/>
              </w:rPr>
            </w:pPr>
            <w:r w:rsidRPr="00083F07">
              <w:rPr>
                <w:rStyle w:val="10"/>
              </w:rPr>
              <w:t>Demonstrarea experienţei operatorului economic în domeniul de activitate aferent obiectului contractului ce urmează a fi atribuit.</w:t>
            </w: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904499">
            <w:pPr>
              <w:rPr>
                <w:rStyle w:val="10"/>
              </w:rPr>
            </w:pPr>
          </w:p>
          <w:p w:rsidR="005361D6" w:rsidRPr="00083F07" w:rsidRDefault="005361D6" w:rsidP="00904499">
            <w:pPr>
              <w:rPr>
                <w:rStyle w:val="10"/>
              </w:rPr>
            </w:pP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5361D6" w:rsidRPr="00083F07" w:rsidRDefault="005361D6" w:rsidP="00904499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</w:rPr>
            </w:pPr>
            <w:r w:rsidRPr="00083F07">
              <w:rPr>
                <w:rStyle w:val="10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5361D6" w:rsidRPr="00083F07" w:rsidRDefault="005361D6" w:rsidP="00904499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  <w:b/>
              </w:rPr>
            </w:pPr>
            <w:r w:rsidRPr="00083F07">
              <w:rPr>
                <w:rStyle w:val="10"/>
                <w:b/>
              </w:rPr>
              <w:t>sau</w:t>
            </w:r>
          </w:p>
          <w:p w:rsidR="005361D6" w:rsidRPr="00083F07" w:rsidRDefault="005361D6" w:rsidP="00904499">
            <w:pPr>
              <w:numPr>
                <w:ilvl w:val="0"/>
                <w:numId w:val="7"/>
              </w:numPr>
              <w:tabs>
                <w:tab w:val="left" w:pos="228"/>
              </w:tabs>
              <w:suppressAutoHyphens/>
              <w:ind w:left="34" w:hanging="34"/>
              <w:rPr>
                <w:rFonts w:ascii="Times New Roman" w:hAnsi="Times New Roman" w:cs="Times New Roman"/>
                <w:b/>
              </w:rPr>
            </w:pPr>
            <w:r w:rsidRPr="00083F07">
              <w:rPr>
                <w:rFonts w:ascii="Times New Roman" w:hAnsi="Times New Roman" w:cs="Times New Roman"/>
              </w:rPr>
              <w:t>valoarea cumulată a tuturor contractelor executate în ultimul an de activitate să fie egală sau mai mare decît valoarea viitorului contract.</w:t>
            </w: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vAlign w:val="center"/>
          </w:tcPr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sz w:val="22"/>
                <w:szCs w:val="22"/>
              </w:rPr>
            </w:pPr>
            <w:r w:rsidRPr="00083F07">
              <w:rPr>
                <w:rFonts w:ascii="Times New Roman" w:eastAsia="PMingLiU" w:hAnsi="Times New Roman"/>
                <w:sz w:val="22"/>
                <w:szCs w:val="22"/>
              </w:rPr>
              <w:t>Minim 3 ani experiență în domeniu.</w:t>
            </w:r>
          </w:p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083F07">
              <w:rPr>
                <w:rFonts w:ascii="Times New Roman" w:eastAsia="PMingLiU" w:hAnsi="Times New Roman"/>
                <w:sz w:val="22"/>
                <w:szCs w:val="22"/>
              </w:rPr>
              <w:t xml:space="preserve">Declarație privind experiența similară </w:t>
            </w:r>
            <w:r w:rsidRPr="00083F07">
              <w:rPr>
                <w:rFonts w:ascii="Times New Roman" w:eastAsia="PMingLiU" w:hAnsi="Times New Roman"/>
                <w:b/>
                <w:sz w:val="22"/>
                <w:szCs w:val="22"/>
              </w:rPr>
              <w:t>sau</w:t>
            </w:r>
          </w:p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083F07">
              <w:rPr>
                <w:rFonts w:ascii="Times New Roman" w:hAnsi="Times New Roman"/>
                <w:sz w:val="22"/>
                <w:szCs w:val="22"/>
              </w:rPr>
              <w:t>Declarație privind lista principalelor lucrări executateîn ultimul an de activitate</w:t>
            </w: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Operatorul economic trebuie să nominalizeze contractul/ contractele în baza cărora se întrunesc cerinţele stabilite, pentru fiecare dintre acestea prezentându-se informaţii detaliate, conform următoarelor documente suport:</w:t>
            </w:r>
          </w:p>
          <w:p w:rsidR="005361D6" w:rsidRPr="00083F07" w:rsidRDefault="005361D6" w:rsidP="00904499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ind w:left="1429" w:hanging="360"/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copii ale respectivului/ respectivelor contract/ contracte, astfel încât autoritatea contractantă să poată identifica natura lucrărilor executate, valoarea acestora şi preţul;</w:t>
            </w:r>
          </w:p>
          <w:p w:rsidR="005361D6" w:rsidRPr="00083F07" w:rsidRDefault="005361D6" w:rsidP="00904499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ind w:left="1429" w:hanging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083F07">
              <w:rPr>
                <w:rStyle w:val="10"/>
              </w:rPr>
              <w:t>procesul verbal de recepţie la terminarea lucrărilor care atestă executarea lucrărilor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3B6F55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5361D6" w:rsidRPr="00083F07" w:rsidRDefault="005361D6" w:rsidP="003B6F55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Demonstrarea accesului la utilajele, instalaţiile şi/sau echipamentele tehnice indicate de autoritatea contractantă, pe care aceasta le consideră necesare pentru îndeplinirea contractului ce urmează a fi atribuit</w:t>
            </w:r>
          </w:p>
        </w:tc>
        <w:tc>
          <w:tcPr>
            <w:tcW w:w="3687" w:type="dxa"/>
          </w:tcPr>
          <w:p w:rsidR="005361D6" w:rsidRPr="00083F07" w:rsidRDefault="005361D6" w:rsidP="003B6F55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 xml:space="preserve">Declarație privind dotările specifice, utilajul şi echipamentul necesar </w:t>
            </w:r>
            <w:r w:rsidRPr="00083F07">
              <w:rPr>
                <w:rFonts w:ascii="Times New Roman" w:eastAsia="PMingLiU" w:hAnsi="Times New Roman" w:cs="Times New Roman"/>
                <w:bCs/>
                <w:spacing w:val="-2"/>
              </w:rPr>
              <w:t xml:space="preserve">pentru </w:t>
            </w:r>
            <w:r w:rsidRPr="00083F07">
              <w:rPr>
                <w:rFonts w:ascii="Times New Roman" w:eastAsia="PMingLiU" w:hAnsi="Times New Roman" w:cs="Times New Roman"/>
              </w:rPr>
              <w:t>îndeplinirea corespunzătoare a contractului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140E6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5361D6" w:rsidRPr="00083F07" w:rsidRDefault="005361D6" w:rsidP="00140E69">
            <w:pPr>
              <w:tabs>
                <w:tab w:val="left" w:pos="829"/>
              </w:tabs>
              <w:rPr>
                <w:rStyle w:val="10"/>
              </w:rPr>
            </w:pPr>
            <w:r w:rsidRPr="00083F07">
              <w:rPr>
                <w:rStyle w:val="10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3687" w:type="dxa"/>
          </w:tcPr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Declarație privind personalul de specialitate propus pentru implementarea contractului</w:t>
            </w:r>
          </w:p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</w:p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140E6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5361D6" w:rsidRPr="00083F07" w:rsidRDefault="005361D6" w:rsidP="00C501FF">
            <w:pPr>
              <w:tabs>
                <w:tab w:val="left" w:pos="772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Certificatul de atestare tehnico-profesională a dirigintelui de șantier</w:t>
            </w:r>
          </w:p>
        </w:tc>
        <w:tc>
          <w:tcPr>
            <w:tcW w:w="3687" w:type="dxa"/>
          </w:tcPr>
          <w:p w:rsidR="005361D6" w:rsidRPr="00083F07" w:rsidRDefault="005361D6" w:rsidP="00C501FF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E56B3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5361D6" w:rsidRPr="00083F07" w:rsidRDefault="005361D6" w:rsidP="00E56B39">
            <w:pPr>
              <w:rPr>
                <w:rStyle w:val="10"/>
              </w:rPr>
            </w:pPr>
            <w:r w:rsidRPr="00083F07">
              <w:rPr>
                <w:rFonts w:ascii="Times New Roman" w:eastAsia="PMingLiU" w:hAnsi="Times New Roman" w:cs="Times New Roman"/>
              </w:rPr>
              <w:t>Informații privind subcontractanții</w:t>
            </w:r>
          </w:p>
        </w:tc>
        <w:tc>
          <w:tcPr>
            <w:tcW w:w="3687" w:type="dxa"/>
          </w:tcPr>
          <w:p w:rsidR="005361D6" w:rsidRPr="00083F07" w:rsidRDefault="005361D6" w:rsidP="00E56B39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332A6D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8" w:type="dxa"/>
          </w:tcPr>
          <w:p w:rsidR="005361D6" w:rsidRPr="00083F07" w:rsidRDefault="005361D6" w:rsidP="00332A6D">
            <w:pPr>
              <w:tabs>
                <w:tab w:val="left" w:pos="2604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Avizul Inspecției de Stat în Construcții</w:t>
            </w:r>
          </w:p>
        </w:tc>
        <w:tc>
          <w:tcPr>
            <w:tcW w:w="3687" w:type="dxa"/>
          </w:tcPr>
          <w:p w:rsidR="005361D6" w:rsidRPr="00083F07" w:rsidRDefault="005361D6" w:rsidP="00332A6D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A00425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5361D6" w:rsidRPr="00083F07" w:rsidRDefault="005361D6" w:rsidP="00A00425">
            <w:pPr>
              <w:tabs>
                <w:tab w:val="left" w:pos="1117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Manualul Calității</w:t>
            </w:r>
          </w:p>
        </w:tc>
        <w:tc>
          <w:tcPr>
            <w:tcW w:w="3687" w:type="dxa"/>
          </w:tcPr>
          <w:p w:rsidR="005361D6" w:rsidRPr="00083F07" w:rsidRDefault="005361D6" w:rsidP="00A00425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073DC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5361D6" w:rsidRPr="00083F07" w:rsidRDefault="005361D6" w:rsidP="00073DC1">
            <w:pPr>
              <w:tabs>
                <w:tab w:val="left" w:pos="910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Certificate de calitate a principalelor materiale utlizate</w:t>
            </w:r>
          </w:p>
        </w:tc>
        <w:tc>
          <w:tcPr>
            <w:tcW w:w="3687" w:type="dxa"/>
          </w:tcPr>
          <w:p w:rsidR="005361D6" w:rsidRPr="00083F07" w:rsidRDefault="005361D6" w:rsidP="00073DC1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42166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5361D6" w:rsidRPr="00083F07" w:rsidRDefault="005361D6" w:rsidP="00421661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Garanție pentru ofertă</w:t>
            </w:r>
          </w:p>
        </w:tc>
        <w:tc>
          <w:tcPr>
            <w:tcW w:w="3687" w:type="dxa"/>
          </w:tcPr>
          <w:p w:rsidR="005361D6" w:rsidRPr="00083F07" w:rsidRDefault="005361D6" w:rsidP="00421661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42166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5361D6" w:rsidRPr="00083F07" w:rsidRDefault="005361D6" w:rsidP="00AB1F77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Informații despre participanr</w:t>
            </w:r>
          </w:p>
        </w:tc>
        <w:tc>
          <w:tcPr>
            <w:tcW w:w="3687" w:type="dxa"/>
          </w:tcPr>
          <w:p w:rsidR="005361D6" w:rsidRPr="00083F07" w:rsidRDefault="005361D6" w:rsidP="00AB1F77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Devizele (forma 3,5 și 7)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</w:tbl>
    <w:p w:rsidR="0083030B" w:rsidRPr="00083F07" w:rsidRDefault="0083030B" w:rsidP="00255E64">
      <w:pPr>
        <w:tabs>
          <w:tab w:val="righ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Motivul recurgerii la procedura accelerată (în cazul licitației deschise, restrânse și al procedurii negociate), după caz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Condiții speciale de care depinde îndeplinirea contractului (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indicați după caz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Criteriul de evaluare aplicat pentru adjudecarea contractului: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prețul cel mai scăzut</w:t>
      </w:r>
      <w:r w:rsidR="0079015E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întregul lot.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Factorii de evaluare a ofertei celei mai avantajoase din punct de vedere economic, precum și ponderile lor:</w:t>
      </w:r>
    </w:p>
    <w:tbl>
      <w:tblPr>
        <w:tblStyle w:val="1"/>
        <w:tblW w:w="0" w:type="auto"/>
        <w:tblLook w:val="04A0"/>
      </w:tblPr>
      <w:tblGrid>
        <w:gridCol w:w="577"/>
        <w:gridCol w:w="7248"/>
        <w:gridCol w:w="1800"/>
      </w:tblGrid>
      <w:tr w:rsidR="002010C8" w:rsidRPr="00083F07" w:rsidTr="002010C8">
        <w:tc>
          <w:tcPr>
            <w:tcW w:w="577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Nr. </w:t>
            </w:r>
          </w:p>
        </w:tc>
        <w:tc>
          <w:tcPr>
            <w:tcW w:w="7248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Ponderea%</w:t>
            </w:r>
          </w:p>
        </w:tc>
      </w:tr>
      <w:tr w:rsidR="002010C8" w:rsidRPr="00083F07" w:rsidTr="00BE6F80">
        <w:trPr>
          <w:trHeight w:val="303"/>
        </w:trPr>
        <w:tc>
          <w:tcPr>
            <w:tcW w:w="577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se aplică</w:t>
            </w:r>
          </w:p>
        </w:tc>
        <w:tc>
          <w:tcPr>
            <w:tcW w:w="1800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 limită de depunere/deschidere a ofertelor:</w:t>
      </w:r>
    </w:p>
    <w:p w:rsidR="002010C8" w:rsidRPr="00083F07" w:rsidRDefault="002010C8" w:rsidP="00016158">
      <w:pPr>
        <w:numPr>
          <w:ilvl w:val="0"/>
          <w:numId w:val="6"/>
        </w:num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până la: </w:t>
      </w:r>
      <w:r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[ora exactă]</w:t>
      </w:r>
      <w:r w:rsidR="005361D6"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Informația o găsiți în SIA ”RSAP”</w:t>
      </w:r>
    </w:p>
    <w:p w:rsidR="002010C8" w:rsidRPr="00083F07" w:rsidRDefault="002010C8" w:rsidP="00016158">
      <w:pPr>
        <w:numPr>
          <w:ilvl w:val="0"/>
          <w:numId w:val="6"/>
        </w:numPr>
        <w:shd w:val="clear" w:color="auto" w:fill="FFFFFF"/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pe: </w:t>
      </w:r>
      <w:r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[data]</w:t>
      </w:r>
      <w:r w:rsidR="005361D6"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Informația o găsiți în 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la care trebuie transmise ofertele sau cererile de participare: 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Ofertele sau cererile de participare vor fi depuse electronic prin intermediul 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Termenul de valabilitate a ofertelor: </w:t>
      </w:r>
      <w:r w:rsidR="00A07FD5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0 zile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Locul deschiderii ofertelor: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Persoanele autorizate să asiste la deschiderea ofertelor: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Ofertanții sau reprezentanții acestora au dreptul să participe la deschiderea ofertelor, cu excepția cazului cînd ofertele au fost depuse prin SIA “RSAP”.</w:t>
      </w:r>
      <w:r w:rsidR="00A22B1D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Limba sau limbile în care trebuie redactate ofertele sau cererile de participare: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limba de stat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Respectivul contract se referă la un proiect și/sau program finanțat din fonduri ale Uniunii Europene: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83F07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Denumirea și adresa organismului competent de soluționare a contestațiilor: 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Agenția Națională pentru Soluționarea Contestațiilor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Adresa: mun. Chișinău, bd. Ștefan cel Mare și Sfânt nr.124 (et.4), MD 2001;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Tel/Fax/email:022-820 652, 022 820-651, contestatii@ansc.md</w:t>
      </w:r>
    </w:p>
    <w:p w:rsidR="002010C8" w:rsidRPr="00083F07" w:rsidRDefault="002010C8" w:rsidP="00083F07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 cazul achizițiilor periodice, calendarul estimat pentru publicarea anunțurilor viitoare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publicării anunțului de intenție sau, după caz, precizarea că nu a fost publicat un astfel de anunţ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  <w:r w:rsidR="00083F07"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0A070F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conform www.tender.gov.md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transmiterii spre publicare a anunțului de participare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  <w:r w:rsidR="00F9315E"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B47071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conform </w:t>
      </w:r>
      <w:r w:rsidR="00B47071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 ”RSAP”</w:t>
      </w: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 cadrul procedurii de achiziție publică se va utiliza/accepta:</w:t>
      </w:r>
    </w:p>
    <w:tbl>
      <w:tblPr>
        <w:tblStyle w:val="1"/>
        <w:tblW w:w="0" w:type="auto"/>
        <w:tblInd w:w="445" w:type="dxa"/>
        <w:tblLook w:val="04A0"/>
      </w:tblPr>
      <w:tblGrid>
        <w:gridCol w:w="5305"/>
        <w:gridCol w:w="3785"/>
      </w:tblGrid>
      <w:tr w:rsidR="002010C8" w:rsidRPr="005F140C" w:rsidTr="002010C8">
        <w:tc>
          <w:tcPr>
            <w:tcW w:w="5305" w:type="dxa"/>
            <w:shd w:val="clear" w:color="auto" w:fill="E7E6E6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 va utiliza/accepta sau nu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</w:tbl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Alte informații relevante: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 sunt</w:t>
      </w:r>
    </w:p>
    <w:p w:rsidR="00F9315E" w:rsidRPr="00083F07" w:rsidRDefault="00F9315E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83F07" w:rsidRPr="00083F07" w:rsidRDefault="00083F07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9315E" w:rsidRPr="00083F07" w:rsidRDefault="00F9315E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7" w:rsidRPr="00083F07" w:rsidRDefault="00083F07" w:rsidP="00083F07">
      <w:pPr>
        <w:tabs>
          <w:tab w:val="decimal" w:pos="8364"/>
        </w:tabs>
        <w:spacing w:after="0" w:line="276" w:lineRule="auto"/>
        <w:ind w:left="-142" w:right="-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8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Conducătorul grupului de lucru:  </w:t>
      </w:r>
    </w:p>
    <w:p w:rsidR="00083F07" w:rsidRPr="00083F07" w:rsidRDefault="00083F07" w:rsidP="00083F07">
      <w:pPr>
        <w:tabs>
          <w:tab w:val="decimal" w:pos="8364"/>
        </w:tabs>
        <w:spacing w:after="0" w:line="276" w:lineRule="auto"/>
        <w:ind w:left="-142" w:right="-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Igor TROPOȚEL                                                                  ________________________________</w:t>
      </w:r>
    </w:p>
    <w:p w:rsidR="00083F07" w:rsidRPr="00083F07" w:rsidRDefault="00083F07" w:rsidP="00083F07">
      <w:pPr>
        <w:tabs>
          <w:tab w:val="left" w:pos="3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(semnătura)</w:t>
      </w:r>
    </w:p>
    <w:p w:rsidR="007B1BA7" w:rsidRDefault="007B1BA7" w:rsidP="00083F07">
      <w:pPr>
        <w:pStyle w:val="a6"/>
        <w:spacing w:before="120"/>
        <w:rPr>
          <w:sz w:val="24"/>
          <w:szCs w:val="24"/>
          <w:lang w:val="en-US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D3016E" w:rsidRPr="007B1BA7" w:rsidRDefault="00D3016E" w:rsidP="007B1BA7">
      <w:pPr>
        <w:jc w:val="center"/>
        <w:rPr>
          <w:lang w:val="en-US" w:eastAsia="ru-RU"/>
        </w:rPr>
      </w:pPr>
    </w:p>
    <w:sectPr w:rsidR="00D3016E" w:rsidRPr="007B1BA7" w:rsidSect="00F9315E">
      <w:footerReference w:type="default" r:id="rId8"/>
      <w:pgSz w:w="11906" w:h="16838"/>
      <w:pgMar w:top="426" w:right="567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EF" w:rsidRDefault="006676EF">
      <w:pPr>
        <w:spacing w:after="0" w:line="240" w:lineRule="auto"/>
      </w:pPr>
      <w:r>
        <w:separator/>
      </w:r>
    </w:p>
  </w:endnote>
  <w:endnote w:type="continuationSeparator" w:id="1">
    <w:p w:rsidR="006676EF" w:rsidRDefault="0066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D" w:rsidRDefault="00072760" w:rsidP="000240CD">
    <w:pPr>
      <w:pStyle w:val="a3"/>
      <w:jc w:val="center"/>
    </w:pPr>
    <w:r>
      <w:fldChar w:fldCharType="begin"/>
    </w:r>
    <w:r w:rsidR="00F50A2E">
      <w:instrText xml:space="preserve"> PAGE   \* MERGEFORMAT </w:instrText>
    </w:r>
    <w:r>
      <w:fldChar w:fldCharType="separate"/>
    </w:r>
    <w:r w:rsidR="005F140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EF" w:rsidRDefault="006676EF">
      <w:pPr>
        <w:spacing w:after="0" w:line="240" w:lineRule="auto"/>
      </w:pPr>
      <w:r>
        <w:separator/>
      </w:r>
    </w:p>
  </w:footnote>
  <w:footnote w:type="continuationSeparator" w:id="1">
    <w:p w:rsidR="006676EF" w:rsidRDefault="0066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0590E"/>
    <w:multiLevelType w:val="hybridMultilevel"/>
    <w:tmpl w:val="6F66205C"/>
    <w:lvl w:ilvl="0" w:tplc="587E74BA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14472"/>
    <w:multiLevelType w:val="hybridMultilevel"/>
    <w:tmpl w:val="D0E204AA"/>
    <w:lvl w:ilvl="0" w:tplc="587E7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076"/>
    <w:multiLevelType w:val="hybridMultilevel"/>
    <w:tmpl w:val="EFAE921C"/>
    <w:lvl w:ilvl="0" w:tplc="D856EB0C">
      <w:start w:val="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628856E7"/>
    <w:multiLevelType w:val="hybridMultilevel"/>
    <w:tmpl w:val="9508ECAC"/>
    <w:lvl w:ilvl="0" w:tplc="D144B5D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E8"/>
    <w:rsid w:val="0001326B"/>
    <w:rsid w:val="00016158"/>
    <w:rsid w:val="00021DFB"/>
    <w:rsid w:val="000240CD"/>
    <w:rsid w:val="00030DB4"/>
    <w:rsid w:val="00072760"/>
    <w:rsid w:val="0007666A"/>
    <w:rsid w:val="00081D9B"/>
    <w:rsid w:val="00083F07"/>
    <w:rsid w:val="000A070F"/>
    <w:rsid w:val="000F5057"/>
    <w:rsid w:val="000F6755"/>
    <w:rsid w:val="00113C18"/>
    <w:rsid w:val="00141FE6"/>
    <w:rsid w:val="0014362B"/>
    <w:rsid w:val="00145CBE"/>
    <w:rsid w:val="00146C32"/>
    <w:rsid w:val="001814A5"/>
    <w:rsid w:val="001E2061"/>
    <w:rsid w:val="002010C8"/>
    <w:rsid w:val="002309BA"/>
    <w:rsid w:val="00231022"/>
    <w:rsid w:val="00255E64"/>
    <w:rsid w:val="002912AD"/>
    <w:rsid w:val="00291306"/>
    <w:rsid w:val="002A7656"/>
    <w:rsid w:val="002E597C"/>
    <w:rsid w:val="002F6723"/>
    <w:rsid w:val="003221B1"/>
    <w:rsid w:val="003420B4"/>
    <w:rsid w:val="00351D17"/>
    <w:rsid w:val="00353CD0"/>
    <w:rsid w:val="00356A09"/>
    <w:rsid w:val="00357045"/>
    <w:rsid w:val="003755EE"/>
    <w:rsid w:val="00393BA5"/>
    <w:rsid w:val="003A4FF4"/>
    <w:rsid w:val="003C27D1"/>
    <w:rsid w:val="003C5F50"/>
    <w:rsid w:val="003E09CD"/>
    <w:rsid w:val="003E1342"/>
    <w:rsid w:val="00424896"/>
    <w:rsid w:val="004266A9"/>
    <w:rsid w:val="004323FA"/>
    <w:rsid w:val="00496AF8"/>
    <w:rsid w:val="004B58D8"/>
    <w:rsid w:val="004E47B9"/>
    <w:rsid w:val="00507626"/>
    <w:rsid w:val="00533782"/>
    <w:rsid w:val="005361D6"/>
    <w:rsid w:val="00562383"/>
    <w:rsid w:val="00585FFB"/>
    <w:rsid w:val="00586612"/>
    <w:rsid w:val="005B25D5"/>
    <w:rsid w:val="005C7B53"/>
    <w:rsid w:val="005E6E33"/>
    <w:rsid w:val="005F140C"/>
    <w:rsid w:val="005F1832"/>
    <w:rsid w:val="005F2FE3"/>
    <w:rsid w:val="00620A24"/>
    <w:rsid w:val="00655917"/>
    <w:rsid w:val="006676EF"/>
    <w:rsid w:val="006C67D2"/>
    <w:rsid w:val="006E7713"/>
    <w:rsid w:val="00704EC1"/>
    <w:rsid w:val="00705A46"/>
    <w:rsid w:val="007437B7"/>
    <w:rsid w:val="00745F8F"/>
    <w:rsid w:val="00756626"/>
    <w:rsid w:val="0079015E"/>
    <w:rsid w:val="00791CF2"/>
    <w:rsid w:val="007B1BA7"/>
    <w:rsid w:val="007C5BF1"/>
    <w:rsid w:val="007E2357"/>
    <w:rsid w:val="0080402B"/>
    <w:rsid w:val="00807695"/>
    <w:rsid w:val="0083030B"/>
    <w:rsid w:val="008448E6"/>
    <w:rsid w:val="008A3524"/>
    <w:rsid w:val="009558AD"/>
    <w:rsid w:val="00970EB4"/>
    <w:rsid w:val="009805AE"/>
    <w:rsid w:val="009A1169"/>
    <w:rsid w:val="009B5549"/>
    <w:rsid w:val="009C67D0"/>
    <w:rsid w:val="00A07FD5"/>
    <w:rsid w:val="00A11FDF"/>
    <w:rsid w:val="00A22B1D"/>
    <w:rsid w:val="00A324AC"/>
    <w:rsid w:val="00A47223"/>
    <w:rsid w:val="00A61813"/>
    <w:rsid w:val="00A77130"/>
    <w:rsid w:val="00AC4EB6"/>
    <w:rsid w:val="00AD7671"/>
    <w:rsid w:val="00B47071"/>
    <w:rsid w:val="00B53857"/>
    <w:rsid w:val="00B549A5"/>
    <w:rsid w:val="00B60C4C"/>
    <w:rsid w:val="00B63B3B"/>
    <w:rsid w:val="00B74BBC"/>
    <w:rsid w:val="00B9585E"/>
    <w:rsid w:val="00BB4AE8"/>
    <w:rsid w:val="00BD3821"/>
    <w:rsid w:val="00BD5D35"/>
    <w:rsid w:val="00BD6BF2"/>
    <w:rsid w:val="00BE6F80"/>
    <w:rsid w:val="00BF7285"/>
    <w:rsid w:val="00C247BC"/>
    <w:rsid w:val="00C26036"/>
    <w:rsid w:val="00C43112"/>
    <w:rsid w:val="00C50262"/>
    <w:rsid w:val="00C7288A"/>
    <w:rsid w:val="00C93B3D"/>
    <w:rsid w:val="00CB11DA"/>
    <w:rsid w:val="00CC2F15"/>
    <w:rsid w:val="00D3016E"/>
    <w:rsid w:val="00D52720"/>
    <w:rsid w:val="00D70257"/>
    <w:rsid w:val="00DB41B9"/>
    <w:rsid w:val="00DC4A77"/>
    <w:rsid w:val="00DE11C4"/>
    <w:rsid w:val="00E03B82"/>
    <w:rsid w:val="00E13B0C"/>
    <w:rsid w:val="00E21F7C"/>
    <w:rsid w:val="00E24228"/>
    <w:rsid w:val="00E55F1C"/>
    <w:rsid w:val="00EB010F"/>
    <w:rsid w:val="00EF2E5A"/>
    <w:rsid w:val="00F0522D"/>
    <w:rsid w:val="00F13713"/>
    <w:rsid w:val="00F137B0"/>
    <w:rsid w:val="00F41183"/>
    <w:rsid w:val="00F50A2E"/>
    <w:rsid w:val="00F57DA3"/>
    <w:rsid w:val="00F82817"/>
    <w:rsid w:val="00F9315E"/>
    <w:rsid w:val="00F9607C"/>
    <w:rsid w:val="00FA48B1"/>
    <w:rsid w:val="00FA740E"/>
    <w:rsid w:val="00FD535D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D"/>
  </w:style>
  <w:style w:type="paragraph" w:styleId="4">
    <w:name w:val="heading 4"/>
    <w:aliases w:val=" Sub-Clause Sub-paragraph"/>
    <w:basedOn w:val="a"/>
    <w:next w:val="a"/>
    <w:link w:val="40"/>
    <w:qFormat/>
    <w:rsid w:val="00A11FDF"/>
    <w:pPr>
      <w:keepNext/>
      <w:spacing w:after="0" w:line="240" w:lineRule="auto"/>
      <w:outlineLvl w:val="3"/>
    </w:pPr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4A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B4AE8"/>
    <w:pPr>
      <w:spacing w:after="0" w:line="240" w:lineRule="auto"/>
    </w:pPr>
    <w:rPr>
      <w:rFonts w:eastAsia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5A8A"/>
    <w:pPr>
      <w:widowControl w:val="0"/>
      <w:autoSpaceDE w:val="0"/>
      <w:autoSpaceDN w:val="0"/>
      <w:spacing w:after="0" w:line="192" w:lineRule="exact"/>
      <w:ind w:left="25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5"/>
    <w:uiPriority w:val="39"/>
    <w:rsid w:val="002010C8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96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02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Body Text"/>
    <w:basedOn w:val="a"/>
    <w:link w:val="aa"/>
    <w:rsid w:val="00021DFB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Знак"/>
    <w:basedOn w:val="a0"/>
    <w:link w:val="a9"/>
    <w:rsid w:val="00021DFB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FontStyle197">
    <w:name w:val="Font Style197"/>
    <w:uiPriority w:val="99"/>
    <w:rsid w:val="00356A09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aliases w:val=" Sub-Clause Sub-paragraph Знак"/>
    <w:basedOn w:val="a0"/>
    <w:link w:val="4"/>
    <w:rsid w:val="00A11FD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paragraph" w:styleId="ab">
    <w:name w:val="No Spacing"/>
    <w:link w:val="ac"/>
    <w:qFormat/>
    <w:rsid w:val="007E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7E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0769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07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82817"/>
    <w:rPr>
      <w:color w:val="0563C1"/>
      <w:u w:val="single"/>
    </w:rPr>
  </w:style>
  <w:style w:type="character" w:customStyle="1" w:styleId="af0">
    <w:name w:val="Основной текст + Курсив"/>
    <w:rsid w:val="005361D6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p.nord@customs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66</cp:revision>
  <cp:lastPrinted>2019-02-07T14:04:00Z</cp:lastPrinted>
  <dcterms:created xsi:type="dcterms:W3CDTF">2019-11-11T08:50:00Z</dcterms:created>
  <dcterms:modified xsi:type="dcterms:W3CDTF">2021-03-30T08:47:00Z</dcterms:modified>
</cp:coreProperties>
</file>