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FE41EA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FE41EA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FE41EA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FE41EA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FE41EA" w:rsidRDefault="000B3556" w:rsidP="00970CB8">
            <w:pPr>
              <w:rPr>
                <w:rFonts w:ascii="Cambria" w:hAnsi="Cambria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FE41EA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FE41EA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FE41EA" w:rsidRDefault="000B3556" w:rsidP="00CE5A31">
            <w:pPr>
              <w:rPr>
                <w:rFonts w:ascii="Cambria" w:hAnsi="Cambria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>Obiectul achiziției:</w:t>
            </w:r>
            <w:r w:rsidRPr="00FE41EA">
              <w:rPr>
                <w:rFonts w:ascii="Cambria" w:hAnsi="Cambria"/>
                <w:lang w:val="ro-RO"/>
              </w:rPr>
              <w:t xml:space="preserve"> </w:t>
            </w:r>
            <w:r w:rsidR="00CE5A31" w:rsidRPr="00FE41EA">
              <w:rPr>
                <w:rFonts w:ascii="Cambria" w:hAnsi="Cambria"/>
                <w:b/>
                <w:lang w:val="ro-RO"/>
              </w:rPr>
              <w:t>Automobile tip VAN</w:t>
            </w:r>
          </w:p>
        </w:tc>
      </w:tr>
    </w:tbl>
    <w:p w:rsidR="000740EE" w:rsidRPr="00FE41EA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FE41EA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FE41EA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FE41EA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RPr="00FE41EA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A23D0" w:rsidRPr="00FE41EA" w:rsidRDefault="00FE41EA" w:rsidP="005A23D0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 xml:space="preserve">Lot 1 - Automobile tip VAN </w:t>
            </w:r>
            <w:r w:rsidRPr="00FE41EA">
              <w:rPr>
                <w:rFonts w:ascii="Cambria" w:hAnsi="Cambria"/>
                <w:b/>
                <w:i/>
                <w:lang w:val="ro-RO"/>
              </w:rPr>
              <w:t>(Volum de încărcare min. 14 m3)</w:t>
            </w:r>
          </w:p>
        </w:tc>
        <w:tc>
          <w:tcPr>
            <w:tcW w:w="1701" w:type="dxa"/>
            <w:vAlign w:val="center"/>
          </w:tcPr>
          <w:p w:rsidR="005A23D0" w:rsidRPr="00FE41EA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A23D0" w:rsidRPr="00FE41EA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A23D0" w:rsidRPr="00FE41EA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E41EA" w:rsidRPr="00FE41EA" w:rsidRDefault="00FE41EA" w:rsidP="00FE41EA">
            <w:pPr>
              <w:pStyle w:val="Listparagraf"/>
              <w:numPr>
                <w:ilvl w:val="0"/>
                <w:numId w:val="42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Date generale: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i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Tip caroserie: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VAN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(camion – furgon);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Anul fabricației: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începând cu data de „01” ianuarie 2025 inclusiv;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Starea tehnică: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Nouă;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Rulaj: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100 km la data livrării automobilului; 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Termen de livrare: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120 zile calendaristice din data semnării contractului.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2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Motor și performanță: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Capacitatea cilindrică a motorului: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Min. 2 000 cm³;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Putere motor: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Min. 120 CP;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Carburant: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Diesel;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Cutie de viteze: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Manuală sau automată;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Tip de tracțiune: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4 x 2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(față),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4 x 2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 (spate)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sau 4 x 4;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Nivel de poluare: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Standardizare min. EURO 5;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Capacitate rezervor combustibil: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Min. 70 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Consum carburant mixt: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10 l / 100 km;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2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Dimensiuni și sarcină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Număr de locuri:</w:t>
            </w:r>
            <w:r w:rsidRPr="00FE41EA">
              <w:rPr>
                <w:sz w:val="18"/>
                <w:szCs w:val="18"/>
                <w:lang w:val="ro-RO"/>
              </w:rPr>
              <w:t xml:space="preserve">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3 locuri în partea din față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(șofer + 2 pasageri);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Masa maximă autorizată: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3 500 kg;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Sarcina utilă: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Min. 1 000 kg;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Volum compartiment marfar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 minim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14 m³;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2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Echipamente de siguranță și frânare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Sistem frânare: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ABS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(sistem </w:t>
            </w:r>
            <w:proofErr w:type="spellStart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antiblocare</w:t>
            </w:r>
            <w:proofErr w:type="spellEnd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 roți)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, EBD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(distribuția electronică a forței de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lastRenderedPageBreak/>
              <w:t>frânare)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și EBA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(asistență la frânarea de urgență)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Sistemă de siguranță activă: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ASR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(sistem </w:t>
            </w:r>
            <w:proofErr w:type="spellStart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antipatinare</w:t>
            </w:r>
            <w:proofErr w:type="spellEnd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și ESP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(program electronic de stabilitate / control al traiectoriei);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Sistem de asistență la pornire: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HSA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(Hill Start </w:t>
            </w:r>
            <w:proofErr w:type="spellStart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Assist</w:t>
            </w:r>
            <w:proofErr w:type="spellEnd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 – asistență la pornirea în rampă);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Airbag-uri: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Frontale și laterale;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Direcție: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Asistată;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Protecție motor: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Scut de metal;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Suspensie: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puntea spate ranforsată (arcuri cu foi duble).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2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Dotări cabină și confort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Ușă laterală compartiment marfar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: </w:t>
            </w:r>
            <w:proofErr w:type="spellStart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culisantă</w:t>
            </w:r>
            <w:proofErr w:type="spellEnd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, amplasată pe partea dreaptă;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Uși spate compartiment marfar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cu două canaturi, unghi de deschidere 270;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Elemente de siguranță: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imobilizator electronic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(previne pornirea motorului fără cheia autorizată)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și închidere centralizată cu telecomandă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(blocare/deblocare uși de la distanță);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Volan reglabil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ajustabil pe înălțime;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Scaun șofer reglabil: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ajustabil pe înălțime;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Aer condiționat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Obligatoriu;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Cruise control: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Obligatoriu cu limitator de viteză;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Iluminare și senzori: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Faruri de zi; senzor lumină; faruri anti ceață; iluminare compartiment marfar;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Multimedia și conectivitate: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Sistem multimedia cu ecran tactil; port USB; priză 12V; Radio FM; Bluetooth; computer de bord; panou de bord digital;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Retrovizoare exterioare: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cu reglaj electric și degivrate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(încălzite)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Geamuri: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cu mecanism de reglare electric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(pentru geamurile din față);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contextualSpacing w:val="0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Alte dotări echipament vehicul: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175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Poliță pentru documente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amplasată deasupra parbrizului;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175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Roată de rezervă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poziționată sub podea;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175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lastRenderedPageBreak/>
              <w:t>Senzori parcare spate: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pentru asistență la manevre;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175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Inele de ancorare compartiment marfa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r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minim 6 bucăți;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175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Apărători de noroi: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față+spate</w:t>
            </w:r>
            <w:proofErr w:type="spellEnd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175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Perete despărțitor compartiment marfar – cabină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.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2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Garanție și întreținere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2"/>
              </w:numPr>
              <w:spacing w:line="276" w:lineRule="auto"/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Condiții minime de garanție:</w:t>
            </w:r>
          </w:p>
          <w:p w:rsidR="00FE41EA" w:rsidRPr="00FE41EA" w:rsidRDefault="00FE41EA" w:rsidP="001764F1">
            <w:pPr>
              <w:numPr>
                <w:ilvl w:val="2"/>
                <w:numId w:val="42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Se oferă un termen de garanție obligatoriu de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cel puțin 100 000 km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sau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minimum 36 de luni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de la data recepției bunului.</w:t>
            </w:r>
          </w:p>
          <w:p w:rsidR="00FE41EA" w:rsidRPr="00FE41EA" w:rsidRDefault="00FE41EA" w:rsidP="001764F1">
            <w:pPr>
              <w:numPr>
                <w:ilvl w:val="2"/>
                <w:numId w:val="42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Se garantează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asigurarea pieselor de schimb originale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și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posibilitatea efectuării intervențiilor tehnice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pe durata întregii perioade de garanție.</w:t>
            </w:r>
          </w:p>
          <w:p w:rsidR="00FE41EA" w:rsidRPr="00FE41EA" w:rsidRDefault="00FE41EA" w:rsidP="001764F1">
            <w:pPr>
              <w:numPr>
                <w:ilvl w:val="2"/>
                <w:numId w:val="42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Se garantează că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reparațiile și intervențiile efectuate în perioada de garanție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vor fi realizate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fără costuri suplimentare pentru Beneficiar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, în cadrul rețelei autorizate de service,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doar pentru componentele defecte sau uzate anormal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, care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nu fac obiectul uzurii normale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ca urmare a exploatării obișnuite.</w:t>
            </w:r>
          </w:p>
          <w:p w:rsidR="00FE41EA" w:rsidRPr="00FE41EA" w:rsidRDefault="00FE41EA" w:rsidP="001764F1">
            <w:pPr>
              <w:numPr>
                <w:ilvl w:val="2"/>
                <w:numId w:val="42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În cazul defectării produsului în perioada de garanție, furnizorul sau service-ul autorizat se obligă să efectueze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reparația sau înlocuirea produsului defect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în termen de cel mult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15 zile calendaristice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din momentul notificării Beneficiarului.</w:t>
            </w:r>
          </w:p>
          <w:p w:rsidR="00FE41EA" w:rsidRPr="00FE41EA" w:rsidRDefault="00FE41EA" w:rsidP="001764F1">
            <w:pPr>
              <w:numPr>
                <w:ilvl w:val="2"/>
                <w:numId w:val="42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 xml:space="preserve">Componentele de tip motor </w:t>
            </w:r>
            <w:r w:rsidRPr="00FE41EA">
              <w:rPr>
                <w:rFonts w:ascii="Cambria" w:hAnsi="Cambria"/>
                <w:b/>
                <w:bCs/>
                <w:i/>
                <w:sz w:val="18"/>
                <w:szCs w:val="18"/>
                <w:lang w:val="ro-RO" w:eastAsia="ro-RO"/>
              </w:rPr>
              <w:t>(unități de acționare, module de propulsie, ansambluri electromecanice principale)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 w:eastAsia="ro-RO"/>
              </w:rPr>
              <w:t xml:space="preserve">, 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în cazul constatării unei defecțiuni acoperite de garanție,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vor fi obligatoriu înlocuite integral cu componente noi, originale, furnizate de producătorul echipamentului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>, fără efectuarea de reparații parțiale.</w:t>
            </w:r>
          </w:p>
          <w:p w:rsidR="00FE41EA" w:rsidRPr="00FE41EA" w:rsidRDefault="00FE41EA" w:rsidP="001764F1">
            <w:pPr>
              <w:numPr>
                <w:ilvl w:val="2"/>
                <w:numId w:val="42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lastRenderedPageBreak/>
              <w:t xml:space="preserve">Garanția nu acoperă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piese și materiale consumabile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(de exemplu: filtre, garnituri, curele, elemente de cauciuc, lichide, uleiuri, lubrifianți, materiale de etanșare etc.), care fac obiectul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uzurii normale în procesul de utilizare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>.</w:t>
            </w:r>
          </w:p>
          <w:p w:rsidR="005A23D0" w:rsidRPr="00FE41EA" w:rsidRDefault="00FE41EA" w:rsidP="001764F1">
            <w:pPr>
              <w:pStyle w:val="Listparagraf"/>
              <w:numPr>
                <w:ilvl w:val="1"/>
                <w:numId w:val="42"/>
              </w:numPr>
              <w:spacing w:line="276" w:lineRule="auto"/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Mentenanță: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Centru de deservire autorizat, cu capacitate de deservire fără afectarea termenului de garanție.</w:t>
            </w:r>
          </w:p>
        </w:tc>
        <w:tc>
          <w:tcPr>
            <w:tcW w:w="3544" w:type="dxa"/>
            <w:vAlign w:val="center"/>
          </w:tcPr>
          <w:p w:rsidR="005A23D0" w:rsidRPr="00FE41EA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A23D0" w:rsidRPr="00FE41EA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FE41EA" w:rsidRPr="00FE41EA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FE41EA" w:rsidRPr="00FE41EA" w:rsidRDefault="00FE41EA" w:rsidP="00FE41EA">
            <w:pPr>
              <w:jc w:val="center"/>
              <w:rPr>
                <w:rFonts w:ascii="Cambria" w:hAnsi="Cambria"/>
                <w:b/>
                <w:i/>
                <w:sz w:val="24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lastRenderedPageBreak/>
              <w:t xml:space="preserve">Lot </w:t>
            </w:r>
            <w:r w:rsidRPr="00FE41EA">
              <w:rPr>
                <w:rFonts w:ascii="Cambria" w:hAnsi="Cambria"/>
                <w:b/>
                <w:lang w:val="ro-RO"/>
              </w:rPr>
              <w:t>2</w:t>
            </w:r>
            <w:r w:rsidRPr="00FE41EA">
              <w:rPr>
                <w:rFonts w:ascii="Cambria" w:hAnsi="Cambria"/>
                <w:b/>
                <w:lang w:val="ro-RO"/>
              </w:rPr>
              <w:t xml:space="preserve"> - Automobile tip VAN </w:t>
            </w:r>
            <w:r w:rsidRPr="00FE41EA">
              <w:rPr>
                <w:rFonts w:ascii="Cambria" w:hAnsi="Cambria"/>
                <w:b/>
                <w:i/>
                <w:lang w:val="ro-RO"/>
              </w:rPr>
              <w:t>(Volum de încărcare min. 17 m3)</w:t>
            </w:r>
          </w:p>
        </w:tc>
        <w:tc>
          <w:tcPr>
            <w:tcW w:w="1701" w:type="dxa"/>
            <w:vAlign w:val="center"/>
          </w:tcPr>
          <w:p w:rsidR="00FE41EA" w:rsidRPr="00FE41EA" w:rsidRDefault="00FE41EA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FE41EA" w:rsidRPr="00FE41EA" w:rsidRDefault="00FE41EA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FE41EA" w:rsidRPr="00FE41EA" w:rsidRDefault="00FE41EA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E41EA" w:rsidRPr="00FE41EA" w:rsidRDefault="00FE41EA" w:rsidP="00FE41EA">
            <w:pPr>
              <w:pStyle w:val="Listparagraf"/>
              <w:numPr>
                <w:ilvl w:val="0"/>
                <w:numId w:val="45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Date generale: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i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Tip caroserie: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VAN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(camion – furgon);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Anul fabricației: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începând cu data de „01” ianuarie 2025 inclusiv;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Starea tehnică: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Nouă;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Rulaj: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100 km la data livrării automobilului; 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Termen de livrare: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120 zile calendaristice din data semnării contractului.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5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Motor și performanță: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Capacitatea cilindrică a motorului: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Min. 2 000 cm³;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Putere motor: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Min. 120 CP;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Carburant: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Diesel;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Cutie de viteze: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Manuală sau automată;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Tip de tracțiune: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4 x 2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(față),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4 x 2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 (spate)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sau 4 x 4;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Nivel de poluare: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Standardizare min. EURO 5;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Capacitate rezervor combustibil: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Min. 70 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Consum carburant mixt: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10 l / 100 km;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5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Dimensiuni și sarcină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Număr de locuri:</w:t>
            </w:r>
            <w:r w:rsidRPr="00FE41EA">
              <w:rPr>
                <w:sz w:val="18"/>
                <w:szCs w:val="18"/>
                <w:lang w:val="ro-RO"/>
              </w:rPr>
              <w:t xml:space="preserve">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3 locuri în partea din față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(șofer + 2 pasageri);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Masa maximă autorizată: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Max.  5 000 kg;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Sarcina utilă: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Min. 1 000 kg;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Volum compartiment marfar minim 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17 m³;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5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Echipamente de siguranță și frânare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lastRenderedPageBreak/>
              <w:t>Sistem frânare: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ABS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(sistem </w:t>
            </w:r>
            <w:proofErr w:type="spellStart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antiblocare</w:t>
            </w:r>
            <w:proofErr w:type="spellEnd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 roți)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, EBD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(distribuția electronică a forței de frânare)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și EBA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(asistență la frânarea de urgență)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Sistemă de siguranță activă: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ASR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(sistem </w:t>
            </w:r>
            <w:proofErr w:type="spellStart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antipatinare</w:t>
            </w:r>
            <w:proofErr w:type="spellEnd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și ESP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(program electronic de stabilitate / control al traiectoriei);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Sistem de asistență la pornire: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HSA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(Hill Start </w:t>
            </w:r>
            <w:proofErr w:type="spellStart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Assist</w:t>
            </w:r>
            <w:proofErr w:type="spellEnd"/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 xml:space="preserve"> – asistență la pornirea în rampă);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Airbag-uri: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Frontale și laterale;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Direcție: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Asistată;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Protecție motor: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Scut de metal;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Suspensie: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puntea spate ranforsată (arcuri cu foi duble).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5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Dotări cabină și confort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Ușă laterală compartiment marfar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: </w:t>
            </w:r>
            <w:proofErr w:type="spellStart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culisantă</w:t>
            </w:r>
            <w:proofErr w:type="spellEnd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, amplasată pe partea dreaptă;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Uși spate compartiment marfar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cu două canaturi, unghi de deschidere 270;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Elemente de siguranță: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imobilizator electronic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(previne pornirea motorului fără cheia autorizată)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și închidere centralizată cu telecomandă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(blocare/deblocare uși de la distanță);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Volan reglabil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ajustabil pe înălțime;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Scaun șofer reglabil: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ajustabil pe înălțime;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Aer condiționat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Obligatoriu;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Cruise control: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Obligatoriu cu limitator de viteză;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Iluminare și senzori: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Faruri de zi; senzor lumină; faruri anti ceață; iluminare compartiment marfar;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Multimedia și conectivitate: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Sistem multimedia cu ecran tactil; port USB; priză 12V; Radio FM; Bluetooth; computer de bord; panou de bord digital;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Retrovizoare exterioare: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cu reglaj electric și degivrate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(încălzite)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Geamuri: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cu mecanism de reglare electric 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/>
              </w:rPr>
              <w:t>(pentru geamurile din față);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contextualSpacing w:val="0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Alte dotări echipament vehicul: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284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lastRenderedPageBreak/>
              <w:t>Poliță pentru documente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amplasată deasupra parbrizului;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284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Roată de rezervă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: poziționată sub podea;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284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Senzori parcare spate: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pentru asistență la manevre;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284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Inele de ancorare compartiment marfa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r</w:t>
            </w: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 xml:space="preserve">: 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minim 6 bucăți;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284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Apărători de noroi: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față+spate</w:t>
            </w:r>
            <w:proofErr w:type="spellEnd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;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3"/>
              </w:numPr>
              <w:tabs>
                <w:tab w:val="left" w:pos="284"/>
              </w:tabs>
              <w:contextualSpacing w:val="0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Perete despărțitor compartiment marfar – cabină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.</w:t>
            </w:r>
          </w:p>
          <w:p w:rsidR="00FE41EA" w:rsidRPr="00FE41EA" w:rsidRDefault="00FE41EA" w:rsidP="00FE41EA">
            <w:pPr>
              <w:pStyle w:val="Listparagraf"/>
              <w:numPr>
                <w:ilvl w:val="0"/>
                <w:numId w:val="45"/>
              </w:numPr>
              <w:spacing w:before="60" w:after="60"/>
              <w:contextualSpacing w:val="0"/>
              <w:jc w:val="center"/>
              <w:rPr>
                <w:rFonts w:ascii="Cambria" w:hAnsi="Cambria"/>
                <w:b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Garanție și întreținere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spacing w:line="276" w:lineRule="auto"/>
              <w:contextualSpacing w:val="0"/>
              <w:jc w:val="both"/>
              <w:rPr>
                <w:rFonts w:ascii="Cambria" w:hAnsi="Cambria"/>
                <w:sz w:val="18"/>
                <w:szCs w:val="18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Condiții minime de garanție:</w:t>
            </w:r>
          </w:p>
          <w:p w:rsidR="00FE41EA" w:rsidRPr="00FE41EA" w:rsidRDefault="00FE41EA" w:rsidP="001764F1">
            <w:pPr>
              <w:numPr>
                <w:ilvl w:val="2"/>
                <w:numId w:val="45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Se oferă un termen de garanție obligatoriu de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cel puțin 100 000 km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sau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minimum 36 de luni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de la data recepției bunului.</w:t>
            </w:r>
          </w:p>
          <w:p w:rsidR="00FE41EA" w:rsidRPr="00FE41EA" w:rsidRDefault="00FE41EA" w:rsidP="001764F1">
            <w:pPr>
              <w:numPr>
                <w:ilvl w:val="2"/>
                <w:numId w:val="45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Se garantează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asigurarea pieselor de schimb originale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și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posibilitatea efectuării intervențiilor tehnice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pe durata întregii perioade de garanție.</w:t>
            </w:r>
          </w:p>
          <w:p w:rsidR="00FE41EA" w:rsidRPr="00FE41EA" w:rsidRDefault="00FE41EA" w:rsidP="001764F1">
            <w:pPr>
              <w:numPr>
                <w:ilvl w:val="2"/>
                <w:numId w:val="45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Se garantează că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reparațiile și intervențiile efectuate în perioada de garanție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vor fi realizate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fără costuri suplimentare pentru Beneficiar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, în cadrul rețelei autorizate de service,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doar pentru componentele defecte sau uzate anormal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, care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nu fac obiectul uzurii normale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ca urmare a exploatării obișnuite.</w:t>
            </w:r>
          </w:p>
          <w:p w:rsidR="00FE41EA" w:rsidRPr="00FE41EA" w:rsidRDefault="00FE41EA" w:rsidP="001764F1">
            <w:pPr>
              <w:numPr>
                <w:ilvl w:val="2"/>
                <w:numId w:val="45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În cazul defectării produsului în perioada de garanție, furnizorul sau service-ul autorizat se obligă să efectueze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reparația sau înlocuirea produsului defect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în termen de cel mult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15 zile calendaristice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din momentul notificării Beneficiarului.</w:t>
            </w:r>
          </w:p>
          <w:p w:rsidR="00FE41EA" w:rsidRPr="00FE41EA" w:rsidRDefault="00FE41EA" w:rsidP="001764F1">
            <w:pPr>
              <w:numPr>
                <w:ilvl w:val="2"/>
                <w:numId w:val="45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 xml:space="preserve">Componentele de tip motor </w:t>
            </w:r>
            <w:r w:rsidRPr="00FE41EA">
              <w:rPr>
                <w:rFonts w:ascii="Cambria" w:hAnsi="Cambria"/>
                <w:b/>
                <w:bCs/>
                <w:i/>
                <w:sz w:val="18"/>
                <w:szCs w:val="18"/>
                <w:lang w:val="ro-RO" w:eastAsia="ro-RO"/>
              </w:rPr>
              <w:t>(unități de acționare, module de propulsie, ansambluri electromecanice principale)</w:t>
            </w:r>
            <w:r w:rsidRPr="00FE41EA">
              <w:rPr>
                <w:rFonts w:ascii="Cambria" w:hAnsi="Cambria"/>
                <w:i/>
                <w:sz w:val="18"/>
                <w:szCs w:val="18"/>
                <w:lang w:val="ro-RO" w:eastAsia="ro-RO"/>
              </w:rPr>
              <w:t xml:space="preserve">, 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în cazul constatării unei defecțiuni acoperite de garanție,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 xml:space="preserve">vor fi obligatoriu înlocuite integral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lastRenderedPageBreak/>
              <w:t>cu componente noi, originale, furnizate de producătorul echipamentului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>, fără efectuarea de reparații parțiale.</w:t>
            </w:r>
          </w:p>
          <w:p w:rsidR="00FE41EA" w:rsidRPr="00FE41EA" w:rsidRDefault="00FE41EA" w:rsidP="001764F1">
            <w:pPr>
              <w:numPr>
                <w:ilvl w:val="2"/>
                <w:numId w:val="45"/>
              </w:numPr>
              <w:spacing w:line="276" w:lineRule="auto"/>
              <w:contextualSpacing/>
              <w:jc w:val="both"/>
              <w:rPr>
                <w:rFonts w:ascii="Cambria" w:hAnsi="Cambria"/>
                <w:sz w:val="18"/>
                <w:szCs w:val="18"/>
                <w:lang w:val="ro-RO" w:eastAsia="ro-RO"/>
              </w:rPr>
            </w:pP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Garanția nu acoperă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piese și materiale consumabile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 xml:space="preserve"> (de exemplu: filtre, garnituri, curele, elemente de cauciuc, lichide, uleiuri, lubrifianți, materiale de etanșare etc.), care fac obiectul </w:t>
            </w:r>
            <w:r w:rsidRPr="00FE41EA">
              <w:rPr>
                <w:rFonts w:ascii="Cambria" w:hAnsi="Cambria"/>
                <w:b/>
                <w:bCs/>
                <w:sz w:val="18"/>
                <w:szCs w:val="18"/>
                <w:lang w:val="ro-RO" w:eastAsia="ro-RO"/>
              </w:rPr>
              <w:t>uzurii normale în procesul de utilizare</w:t>
            </w:r>
            <w:r w:rsidRPr="00FE41EA">
              <w:rPr>
                <w:rFonts w:ascii="Cambria" w:hAnsi="Cambria"/>
                <w:sz w:val="18"/>
                <w:szCs w:val="18"/>
                <w:lang w:val="ro-RO" w:eastAsia="ro-RO"/>
              </w:rPr>
              <w:t>.</w:t>
            </w:r>
          </w:p>
          <w:p w:rsidR="00FE41EA" w:rsidRPr="00FE41EA" w:rsidRDefault="00FE41EA" w:rsidP="001764F1">
            <w:pPr>
              <w:pStyle w:val="Listparagraf"/>
              <w:numPr>
                <w:ilvl w:val="1"/>
                <w:numId w:val="45"/>
              </w:numPr>
              <w:spacing w:line="276" w:lineRule="auto"/>
              <w:contextualSpacing w:val="0"/>
              <w:jc w:val="both"/>
              <w:rPr>
                <w:rFonts w:ascii="Cambria" w:hAnsi="Cambria"/>
                <w:sz w:val="24"/>
                <w:szCs w:val="24"/>
                <w:lang w:val="ro-RO"/>
              </w:rPr>
            </w:pPr>
            <w:r w:rsidRPr="00FE41EA">
              <w:rPr>
                <w:rFonts w:ascii="Cambria" w:hAnsi="Cambria"/>
                <w:b/>
                <w:sz w:val="18"/>
                <w:szCs w:val="18"/>
                <w:lang w:val="ro-RO"/>
              </w:rPr>
              <w:t>Mentenanță:</w:t>
            </w:r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 xml:space="preserve"> Centru de </w:t>
            </w:r>
            <w:bookmarkStart w:id="0" w:name="_GoBack"/>
            <w:bookmarkEnd w:id="0"/>
            <w:r w:rsidRPr="00FE41EA">
              <w:rPr>
                <w:rFonts w:ascii="Cambria" w:hAnsi="Cambria"/>
                <w:sz w:val="18"/>
                <w:szCs w:val="18"/>
                <w:lang w:val="ro-RO"/>
              </w:rPr>
              <w:t>deservire autorizat, cu capacitate de deservire fără afectarea termenului de garanție.</w:t>
            </w:r>
          </w:p>
        </w:tc>
        <w:tc>
          <w:tcPr>
            <w:tcW w:w="3544" w:type="dxa"/>
            <w:vAlign w:val="center"/>
          </w:tcPr>
          <w:p w:rsidR="00FE41EA" w:rsidRPr="00FE41EA" w:rsidRDefault="00FE41EA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FE41EA" w:rsidRPr="00FE41EA" w:rsidRDefault="00FE41EA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FE41EA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FE41EA">
        <w:rPr>
          <w:rFonts w:ascii="Cambria" w:hAnsi="Cambria"/>
          <w:b/>
          <w:i/>
          <w:iCs/>
          <w:lang w:val="ro-RO"/>
        </w:rPr>
        <w:lastRenderedPageBreak/>
        <w:t xml:space="preserve">Acest tabel </w:t>
      </w:r>
      <w:r w:rsidR="001472C5" w:rsidRPr="00FE41EA">
        <w:rPr>
          <w:rFonts w:ascii="Cambria" w:hAnsi="Cambria"/>
          <w:b/>
          <w:i/>
          <w:iCs/>
          <w:lang w:val="ro-RO"/>
        </w:rPr>
        <w:t>este</w:t>
      </w:r>
      <w:r w:rsidRPr="00FE41EA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FE41EA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FE41EA" w:rsidTr="00C872F8">
        <w:tc>
          <w:tcPr>
            <w:tcW w:w="2266" w:type="dxa"/>
            <w:gridSpan w:val="5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FE41EA" w:rsidTr="00C872F8">
        <w:trPr>
          <w:trHeight w:val="20"/>
        </w:trPr>
        <w:tc>
          <w:tcPr>
            <w:tcW w:w="2266" w:type="dxa"/>
            <w:gridSpan w:val="5"/>
          </w:tcPr>
          <w:p w:rsidR="003C3EC8" w:rsidRPr="00FE41EA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FE41EA" w:rsidTr="00C872F8">
        <w:tc>
          <w:tcPr>
            <w:tcW w:w="1699" w:type="dxa"/>
            <w:gridSpan w:val="4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FE41EA" w:rsidTr="00C872F8">
        <w:tc>
          <w:tcPr>
            <w:tcW w:w="1699" w:type="dxa"/>
            <w:gridSpan w:val="4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FE41EA" w:rsidTr="00C872F8">
        <w:tc>
          <w:tcPr>
            <w:tcW w:w="1416" w:type="dxa"/>
            <w:gridSpan w:val="3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FE41EA" w:rsidTr="00C872F8">
        <w:tc>
          <w:tcPr>
            <w:tcW w:w="1416" w:type="dxa"/>
            <w:gridSpan w:val="3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FE41EA" w:rsidTr="00C872F8">
        <w:tc>
          <w:tcPr>
            <w:tcW w:w="992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FE41EA" w:rsidTr="00C872F8">
        <w:tc>
          <w:tcPr>
            <w:tcW w:w="992" w:type="dxa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FE41EA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FE41EA" w:rsidTr="00C872F8">
        <w:tc>
          <w:tcPr>
            <w:tcW w:w="998" w:type="dxa"/>
            <w:gridSpan w:val="2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FE41EA" w:rsidTr="00C872F8">
        <w:trPr>
          <w:trHeight w:val="274"/>
        </w:trPr>
        <w:tc>
          <w:tcPr>
            <w:tcW w:w="998" w:type="dxa"/>
            <w:gridSpan w:val="2"/>
          </w:tcPr>
          <w:p w:rsidR="003C3EC8" w:rsidRPr="00FE41EA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FE41EA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FE41EA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FE41EA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FE41EA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FE41EA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FE41EA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FE41EA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D5B2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3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D5B2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7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6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3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4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1"/>
  </w:num>
  <w:num w:numId="3">
    <w:abstractNumId w:val="27"/>
  </w:num>
  <w:num w:numId="4">
    <w:abstractNumId w:val="34"/>
  </w:num>
  <w:num w:numId="5">
    <w:abstractNumId w:val="19"/>
  </w:num>
  <w:num w:numId="6">
    <w:abstractNumId w:val="16"/>
  </w:num>
  <w:num w:numId="7">
    <w:abstractNumId w:val="28"/>
  </w:num>
  <w:num w:numId="8">
    <w:abstractNumId w:val="1"/>
  </w:num>
  <w:num w:numId="9">
    <w:abstractNumId w:val="15"/>
  </w:num>
  <w:num w:numId="10">
    <w:abstractNumId w:val="23"/>
  </w:num>
  <w:num w:numId="11">
    <w:abstractNumId w:val="43"/>
  </w:num>
  <w:num w:numId="12">
    <w:abstractNumId w:val="32"/>
  </w:num>
  <w:num w:numId="13">
    <w:abstractNumId w:val="5"/>
  </w:num>
  <w:num w:numId="14">
    <w:abstractNumId w:val="29"/>
  </w:num>
  <w:num w:numId="15">
    <w:abstractNumId w:val="2"/>
  </w:num>
  <w:num w:numId="16">
    <w:abstractNumId w:val="39"/>
  </w:num>
  <w:num w:numId="17">
    <w:abstractNumId w:val="38"/>
  </w:num>
  <w:num w:numId="18">
    <w:abstractNumId w:val="44"/>
  </w:num>
  <w:num w:numId="19">
    <w:abstractNumId w:val="41"/>
  </w:num>
  <w:num w:numId="20">
    <w:abstractNumId w:val="20"/>
  </w:num>
  <w:num w:numId="21">
    <w:abstractNumId w:val="33"/>
  </w:num>
  <w:num w:numId="22">
    <w:abstractNumId w:val="0"/>
  </w:num>
  <w:num w:numId="23">
    <w:abstractNumId w:val="31"/>
  </w:num>
  <w:num w:numId="24">
    <w:abstractNumId w:val="12"/>
  </w:num>
  <w:num w:numId="25">
    <w:abstractNumId w:val="22"/>
  </w:num>
  <w:num w:numId="26">
    <w:abstractNumId w:val="9"/>
  </w:num>
  <w:num w:numId="27">
    <w:abstractNumId w:val="11"/>
  </w:num>
  <w:num w:numId="28">
    <w:abstractNumId w:val="42"/>
  </w:num>
  <w:num w:numId="29">
    <w:abstractNumId w:val="24"/>
  </w:num>
  <w:num w:numId="30">
    <w:abstractNumId w:val="4"/>
  </w:num>
  <w:num w:numId="31">
    <w:abstractNumId w:val="7"/>
  </w:num>
  <w:num w:numId="32">
    <w:abstractNumId w:val="8"/>
  </w:num>
  <w:num w:numId="33">
    <w:abstractNumId w:val="25"/>
  </w:num>
  <w:num w:numId="34">
    <w:abstractNumId w:val="26"/>
  </w:num>
  <w:num w:numId="35">
    <w:abstractNumId w:val="30"/>
  </w:num>
  <w:num w:numId="36">
    <w:abstractNumId w:val="40"/>
  </w:num>
  <w:num w:numId="37">
    <w:abstractNumId w:val="17"/>
  </w:num>
  <w:num w:numId="38">
    <w:abstractNumId w:val="13"/>
  </w:num>
  <w:num w:numId="39">
    <w:abstractNumId w:val="35"/>
  </w:num>
  <w:num w:numId="40">
    <w:abstractNumId w:val="14"/>
  </w:num>
  <w:num w:numId="41">
    <w:abstractNumId w:val="3"/>
  </w:num>
  <w:num w:numId="42">
    <w:abstractNumId w:val="6"/>
  </w:num>
  <w:num w:numId="43">
    <w:abstractNumId w:val="18"/>
  </w:num>
  <w:num w:numId="44">
    <w:abstractNumId w:val="10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F637E3A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1347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65</cp:revision>
  <dcterms:created xsi:type="dcterms:W3CDTF">2023-10-05T07:14:00Z</dcterms:created>
  <dcterms:modified xsi:type="dcterms:W3CDTF">2026-03-11T08:55:00Z</dcterms:modified>
</cp:coreProperties>
</file>