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031" w:type="dxa"/>
        <w:jc w:val="left"/>
        <w:tblInd w:w="-108" w:type="dxa"/>
        <w:tblCellMar>
          <w:top w:w="0" w:type="dxa"/>
          <w:left w:w="108" w:type="dxa"/>
          <w:bottom w:w="0" w:type="dxa"/>
          <w:right w:w="108" w:type="dxa"/>
        </w:tblCellMar>
      </w:tblPr>
      <w:tblGrid>
        <w:gridCol w:w="8612"/>
        <w:gridCol w:w="1418"/>
      </w:tblGrid>
      <w:tr>
        <w:trPr/>
        <w:tc>
          <w:tcPr>
            <w:tcW w:w="8612" w:type="dxa"/>
            <w:tcBorders>
              <w:bottom w:val="single" w:sz="6" w:space="0" w:color="000000"/>
            </w:tcBorders>
          </w:tcPr>
          <w:p>
            <w:pPr>
              <w:pStyle w:val="Normal"/>
              <w:tabs>
                <w:tab w:val="clear" w:pos="720"/>
              </w:tabs>
              <w:bidi w:val="0"/>
              <w:ind w:left="0" w:right="0" w:hanging="0"/>
              <w:jc w:val="center"/>
              <w:rPr>
                <w:rFonts w:ascii="Times New Roman" w:hAnsi="Times New Roman"/>
                <w:b/>
                <w:b/>
                <w:bCs/>
                <w:sz w:val="32"/>
                <w:szCs w:val="32"/>
                <w:lang w:val="en-US"/>
              </w:rPr>
            </w:pPr>
            <w:r>
              <w:rPr>
                <w:b/>
                <w:bCs/>
                <w:sz w:val="32"/>
                <w:szCs w:val="32"/>
                <w:lang w:val="en-US"/>
              </w:rPr>
            </w:r>
          </w:p>
          <w:p>
            <w:pPr>
              <w:pStyle w:val="Normal"/>
              <w:tabs>
                <w:tab w:val="clear" w:pos="720"/>
              </w:tabs>
              <w:bidi w:val="0"/>
              <w:ind w:left="0" w:right="0" w:hanging="0"/>
              <w:jc w:val="center"/>
              <w:rPr>
                <w:lang w:val="en-US"/>
              </w:rPr>
            </w:pPr>
            <w:r>
              <w:rPr>
                <w:b/>
                <w:bCs/>
                <w:sz w:val="32"/>
                <w:szCs w:val="32"/>
                <w:lang w:val="en-US"/>
              </w:rPr>
              <w:t>Lucrari de reparatie curente in incinta edificiului SIS</w:t>
            </w:r>
          </w:p>
          <w:p>
            <w:pPr>
              <w:pStyle w:val="Normal"/>
              <w:tabs>
                <w:tab w:val="clear" w:pos="720"/>
              </w:tabs>
              <w:bidi w:val="0"/>
              <w:ind w:left="0" w:right="0" w:hanging="0"/>
              <w:jc w:val="center"/>
              <w:rPr>
                <w:lang w:val="en-US"/>
              </w:rPr>
            </w:pPr>
            <w:r>
              <w:rPr>
                <w:b/>
                <w:bCs/>
                <w:sz w:val="32"/>
                <w:szCs w:val="32"/>
                <w:lang w:val="en-US"/>
              </w:rPr>
              <w:t xml:space="preserve"> </w:t>
            </w:r>
            <w:r>
              <w:rPr>
                <w:b/>
                <w:bCs/>
                <w:sz w:val="32"/>
                <w:szCs w:val="32"/>
                <w:lang w:val="en-US"/>
              </w:rPr>
              <w:t>str. Stefan cel Mare.166</w:t>
            </w:r>
            <w:r>
              <w:rPr>
                <w:bCs/>
                <w:i/>
                <w:sz w:val="40"/>
                <w:szCs w:val="40"/>
                <w:lang w:val="en-US"/>
              </w:rPr>
              <w:t xml:space="preserve"> </w:t>
            </w:r>
            <w:r>
              <w:rPr>
                <w:bCs/>
                <w:sz w:val="40"/>
                <w:szCs w:val="40"/>
                <w:lang w:val="en-US"/>
              </w:rPr>
              <w:t>(cladirea cu 3 nivele)</w:t>
            </w:r>
          </w:p>
          <w:p>
            <w:pPr>
              <w:pStyle w:val="Normal"/>
              <w:tabs>
                <w:tab w:val="clear" w:pos="720"/>
              </w:tabs>
              <w:bidi w:val="0"/>
              <w:ind w:left="0" w:right="0" w:hanging="0"/>
              <w:jc w:val="center"/>
              <w:rPr>
                <w:rFonts w:ascii="Times New Roman" w:hAnsi="Times New Roman"/>
                <w:b/>
                <w:b/>
                <w:bCs/>
                <w:sz w:val="32"/>
                <w:szCs w:val="32"/>
                <w:lang w:val="en-US"/>
              </w:rPr>
            </w:pPr>
            <w:r>
              <w:rPr>
                <w:b/>
                <w:bCs/>
                <w:sz w:val="32"/>
                <w:szCs w:val="32"/>
                <w:lang w:val="en-US"/>
              </w:rPr>
            </w:r>
          </w:p>
        </w:tc>
        <w:tc>
          <w:tcPr>
            <w:tcW w:w="1418" w:type="dxa"/>
            <w:tcBorders/>
          </w:tcPr>
          <w:p>
            <w:pPr>
              <w:pStyle w:val="Normal"/>
              <w:tabs>
                <w:tab w:val="clear" w:pos="720"/>
              </w:tabs>
              <w:bidi w:val="0"/>
              <w:ind w:left="0" w:right="0" w:hanging="0"/>
              <w:jc w:val="right"/>
              <w:rPr>
                <w:lang w:val="en-US"/>
              </w:rPr>
            </w:pPr>
            <w:r>
              <w:rPr>
                <w:sz w:val="22"/>
                <w:szCs w:val="22"/>
                <w:lang w:val="en-US"/>
              </w:rPr>
              <w:t>Formular Nr.1</w:t>
            </w:r>
          </w:p>
          <w:p>
            <w:pPr>
              <w:pStyle w:val="Normal"/>
              <w:tabs>
                <w:tab w:val="clear" w:pos="720"/>
                <w:tab w:val="left" w:pos="4786" w:leader="none"/>
                <w:tab w:val="left" w:pos="10031" w:leader="none"/>
              </w:tabs>
              <w:bidi w:val="0"/>
              <w:ind w:left="0" w:right="0" w:hanging="0"/>
              <w:jc w:val="right"/>
              <w:rPr>
                <w:lang w:val="en-US"/>
              </w:rPr>
            </w:pPr>
            <w:r>
              <w:rPr>
                <w:sz w:val="16"/>
                <w:szCs w:val="16"/>
                <w:lang w:val="en-US"/>
              </w:rPr>
              <w:t>WinСmeta</w:t>
            </w:r>
          </w:p>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r>
      <w:tr>
        <w:trPr/>
        <w:tc>
          <w:tcPr>
            <w:tcW w:w="8612" w:type="dxa"/>
            <w:tcBorders/>
          </w:tcPr>
          <w:p>
            <w:pPr>
              <w:pStyle w:val="Normal"/>
              <w:tabs>
                <w:tab w:val="clear" w:pos="720"/>
              </w:tabs>
              <w:bidi w:val="0"/>
              <w:ind w:left="0" w:right="0" w:hanging="0"/>
              <w:jc w:val="center"/>
              <w:rPr>
                <w:lang w:val="en-US"/>
              </w:rPr>
            </w:pPr>
            <w:r>
              <w:rPr>
                <w:sz w:val="22"/>
                <w:szCs w:val="22"/>
                <w:lang w:val="en-US"/>
              </w:rPr>
              <w:t>(denumirea obiectivului)</w:t>
            </w:r>
          </w:p>
        </w:tc>
        <w:tc>
          <w:tcPr>
            <w:tcW w:w="1418" w:type="dxa"/>
            <w:tcBorders/>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jc w:val="center"/>
        <w:rPr>
          <w:lang w:val="en-US"/>
        </w:rPr>
      </w:pPr>
      <w:r>
        <w:rPr>
          <w:b/>
          <w:bCs/>
          <w:sz w:val="40"/>
          <w:szCs w:val="40"/>
          <w:lang w:val="en-US"/>
        </w:rPr>
        <w:t>Caiet de sarcini № 01</w:t>
      </w:r>
    </w:p>
    <w:p>
      <w:pPr>
        <w:pStyle w:val="Normal"/>
        <w:bidi w:val="0"/>
        <w:ind w:left="0" w:right="0" w:hanging="0"/>
        <w:jc w:val="center"/>
        <w:rPr>
          <w:rFonts w:ascii="Times New Roman" w:hAnsi="Times New Roman"/>
          <w:b/>
          <w:b/>
          <w:bCs/>
          <w:sz w:val="28"/>
          <w:szCs w:val="28"/>
          <w:lang w:val="en-US"/>
        </w:rPr>
      </w:pPr>
      <w:r>
        <w:rPr>
          <w:b/>
          <w:bCs/>
          <w:sz w:val="28"/>
          <w:szCs w:val="28"/>
          <w:lang w:val="en-US"/>
        </w:rPr>
      </w:r>
    </w:p>
    <w:p>
      <w:pPr>
        <w:pStyle w:val="Normal"/>
        <w:bidi w:val="0"/>
        <w:ind w:left="0" w:right="0" w:hanging="0"/>
        <w:jc w:val="center"/>
        <w:rPr>
          <w:rFonts w:ascii="Times New Roman" w:hAnsi="Times New Roman"/>
          <w:b/>
          <w:b/>
          <w:bCs/>
          <w:sz w:val="28"/>
          <w:szCs w:val="28"/>
          <w:lang w:val="en-US"/>
        </w:rPr>
      </w:pPr>
      <w:r>
        <w:rPr>
          <w:b/>
          <w:bCs/>
          <w:sz w:val="28"/>
          <w:szCs w:val="28"/>
          <w:lang w:val="en-US"/>
        </w:rPr>
      </w:r>
    </w:p>
    <w:p>
      <w:pPr>
        <w:pStyle w:val="Normal"/>
        <w:bidi w:val="0"/>
        <w:ind w:left="0" w:right="0" w:hanging="0"/>
        <w:rPr>
          <w:rFonts w:ascii="Times New Roman" w:hAnsi="Times New Roman"/>
          <w:sz w:val="24"/>
          <w:szCs w:val="24"/>
          <w:lang w:val="en-US"/>
        </w:rPr>
      </w:pPr>
      <w:r>
        <w:rPr>
          <w:sz w:val="24"/>
          <w:szCs w:val="24"/>
          <w:lang w:val="en-US"/>
        </w:rPr>
      </w:r>
    </w:p>
    <w:tbl>
      <w:tblPr>
        <w:tblW w:w="10490" w:type="dxa"/>
        <w:jc w:val="left"/>
        <w:tblInd w:w="-567" w:type="dxa"/>
        <w:tblCellMar>
          <w:top w:w="0" w:type="dxa"/>
          <w:left w:w="108" w:type="dxa"/>
          <w:bottom w:w="0" w:type="dxa"/>
          <w:right w:w="108" w:type="dxa"/>
        </w:tblCellMar>
      </w:tblPr>
      <w:tblGrid>
        <w:gridCol w:w="709"/>
        <w:gridCol w:w="1276"/>
        <w:gridCol w:w="3544"/>
        <w:gridCol w:w="849"/>
        <w:gridCol w:w="1276"/>
        <w:gridCol w:w="1"/>
        <w:gridCol w:w="1416"/>
        <w:gridCol w:w="1418"/>
      </w:tblGrid>
      <w:tr>
        <w:trPr>
          <w:trHeight w:val="314" w:hRule="atLeast"/>
          <w:cantSplit w:val="true"/>
        </w:trPr>
        <w:tc>
          <w:tcPr>
            <w:tcW w:w="70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0" w:right="-108" w:hanging="0"/>
              <w:jc w:val="center"/>
              <w:rPr>
                <w:lang w:val="en-US"/>
              </w:rPr>
            </w:pPr>
            <w:r>
              <w:rPr>
                <w:sz w:val="22"/>
                <w:szCs w:val="22"/>
                <w:lang w:val="en-US"/>
              </w:rPr>
              <w:t>№</w:t>
            </w:r>
          </w:p>
          <w:p>
            <w:pPr>
              <w:pStyle w:val="Normal"/>
              <w:tabs>
                <w:tab w:val="clear" w:pos="720"/>
              </w:tabs>
              <w:bidi w:val="0"/>
              <w:ind w:left="0" w:right="-108" w:hanging="0"/>
              <w:jc w:val="center"/>
              <w:rPr>
                <w:lang w:val="en-US"/>
              </w:rPr>
            </w:pPr>
            <w:r>
              <w:rPr>
                <w:sz w:val="22"/>
                <w:szCs w:val="22"/>
                <w:lang w:val="en-US"/>
              </w:rPr>
              <w:t>crt.</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rFonts w:cs="Times New Roman CE" w:ascii="Times New Roman CE" w:hAnsi="Times New Roman CE"/>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sz w:val="22"/>
                <w:szCs w:val="22"/>
                <w:lang w:val="ro-RO"/>
              </w:rPr>
            </w:pPr>
            <w:r>
              <w:rPr>
                <w:sz w:val="22"/>
                <w:szCs w:val="22"/>
                <w:lang w:val="ro-RO"/>
              </w:rPr>
            </w:r>
          </w:p>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Lucrări şi cheltuieli</w:t>
            </w:r>
          </w:p>
        </w:tc>
        <w:tc>
          <w:tcPr>
            <w:tcW w:w="84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08" w:right="-108" w:hanging="0"/>
              <w:jc w:val="center"/>
              <w:rPr>
                <w:rFonts w:ascii="Times New Roman" w:hAnsi="Times New Roman"/>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08" w:right="-108" w:hanging="0"/>
              <w:jc w:val="center"/>
              <w:rPr>
                <w:lang w:val="ro-RO"/>
              </w:rPr>
            </w:pPr>
            <w:r>
              <w:rPr>
                <w:sz w:val="22"/>
                <w:szCs w:val="22"/>
                <w:lang w:val="ro-RO"/>
              </w:rPr>
              <w:t>Cantitate conform datelor din proiect</w:t>
            </w:r>
          </w:p>
        </w:tc>
        <w:tc>
          <w:tcPr>
            <w:tcW w:w="2835" w:type="dxa"/>
            <w:gridSpan w:val="3"/>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en-US"/>
              </w:rPr>
            </w:pPr>
            <w:r>
              <w:rPr>
                <w:sz w:val="22"/>
                <w:szCs w:val="22"/>
                <w:lang w:val="en-US"/>
              </w:rPr>
              <w:t>Valoarea de deviz, lei</w:t>
            </w:r>
          </w:p>
        </w:tc>
      </w:tr>
      <w:tr>
        <w:trPr>
          <w:cantSplit w:val="true"/>
        </w:trPr>
        <w:tc>
          <w:tcPr>
            <w:tcW w:w="70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6"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3544"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84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7"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tcBorders>
              <w:left w:val="single" w:sz="4"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Pe unitate de măsură</w:t>
            </w:r>
          </w:p>
          <w:p>
            <w:pPr>
              <w:pStyle w:val="Normal"/>
              <w:tabs>
                <w:tab w:val="clear" w:pos="720"/>
              </w:tabs>
              <w:bidi w:val="0"/>
              <w:ind w:left="0" w:right="0" w:hanging="0"/>
              <w:jc w:val="center"/>
              <w:rPr/>
            </w:pPr>
            <w:r>
              <w:rPr>
                <w:sz w:val="22"/>
                <w:szCs w:val="22"/>
                <w:lang w:val="en-US"/>
              </w:rPr>
              <w:t>————</w:t>
            </w:r>
          </w:p>
          <w:p>
            <w:pPr>
              <w:pStyle w:val="Normal"/>
              <w:tabs>
                <w:tab w:val="clear" w:pos="720"/>
              </w:tabs>
              <w:bidi w:val="0"/>
              <w:ind w:left="0" w:right="0" w:hanging="0"/>
              <w:jc w:val="center"/>
              <w:rPr/>
            </w:pPr>
            <w:r>
              <w:rPr>
                <w:sz w:val="22"/>
                <w:szCs w:val="22"/>
                <w:lang w:val="en-US"/>
              </w:rPr>
              <w:t>incl. salariu</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pPr>
            <w:r>
              <w:rPr>
                <w:sz w:val="22"/>
                <w:szCs w:val="22"/>
                <w:lang w:val="en-US"/>
              </w:rPr>
              <w:t>Total</w:t>
            </w:r>
          </w:p>
          <w:p>
            <w:pPr>
              <w:pStyle w:val="Normal"/>
              <w:tabs>
                <w:tab w:val="clear" w:pos="720"/>
              </w:tabs>
              <w:bidi w:val="0"/>
              <w:ind w:left="0" w:right="0" w:hanging="0"/>
              <w:jc w:val="center"/>
              <w:rPr/>
            </w:pPr>
            <w:r>
              <w:rPr>
                <w:sz w:val="22"/>
                <w:szCs w:val="22"/>
                <w:lang w:val="en-US"/>
              </w:rPr>
              <w:t>—————</w:t>
            </w:r>
          </w:p>
          <w:p>
            <w:pPr>
              <w:pStyle w:val="Normal"/>
              <w:tabs>
                <w:tab w:val="clear" w:pos="720"/>
              </w:tabs>
              <w:bidi w:val="0"/>
              <w:ind w:left="0" w:right="0" w:hanging="0"/>
              <w:jc w:val="center"/>
              <w:rPr/>
            </w:pPr>
            <w:r>
              <w:rPr>
                <w:sz w:val="22"/>
                <w:szCs w:val="22"/>
                <w:lang w:val="en-US"/>
              </w:rPr>
              <w:t>incl. salariu</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rFonts w:ascii="Times New Roman" w:hAnsi="Times New Roman"/>
          <w:sz w:val="2"/>
          <w:szCs w:val="2"/>
          <w:lang w:val="en-US"/>
        </w:rPr>
      </w:pPr>
      <w:r>
        <w:rPr>
          <w:sz w:val="2"/>
          <w:szCs w:val="2"/>
          <w:lang w:val="en-US"/>
        </w:rPr>
      </w:r>
    </w:p>
    <w:tbl>
      <w:tblPr>
        <w:tblW w:w="10490" w:type="dxa"/>
        <w:jc w:val="left"/>
        <w:tblInd w:w="-567" w:type="dxa"/>
        <w:tblCellMar>
          <w:top w:w="0" w:type="dxa"/>
          <w:left w:w="108" w:type="dxa"/>
          <w:bottom w:w="0" w:type="dxa"/>
          <w:right w:w="108" w:type="dxa"/>
        </w:tblCellMar>
      </w:tblPr>
      <w:tblGrid>
        <w:gridCol w:w="675"/>
        <w:gridCol w:w="34"/>
        <w:gridCol w:w="1100"/>
        <w:gridCol w:w="176"/>
        <w:gridCol w:w="2598"/>
        <w:gridCol w:w="236"/>
        <w:gridCol w:w="710"/>
        <w:gridCol w:w="505"/>
        <w:gridCol w:w="344"/>
        <w:gridCol w:w="142"/>
        <w:gridCol w:w="933"/>
        <w:gridCol w:w="202"/>
        <w:gridCol w:w="1215"/>
        <w:gridCol w:w="1"/>
        <w:gridCol w:w="200"/>
        <w:gridCol w:w="1418"/>
      </w:tblGrid>
      <w:tr>
        <w:trPr>
          <w:cantSplit w:val="true"/>
        </w:trPr>
        <w:tc>
          <w:tcPr>
            <w:tcW w:w="70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lang w:val="en-US"/>
              </w:rPr>
            </w:pPr>
            <w:r>
              <w:rPr>
                <w:sz w:val="22"/>
                <w:szCs w:val="22"/>
                <w:lang w:val="en-US"/>
              </w:rPr>
              <w:t>1</w:t>
            </w:r>
          </w:p>
        </w:tc>
        <w:tc>
          <w:tcPr>
            <w:tcW w:w="1276"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lang w:val="en-US"/>
              </w:rPr>
            </w:pPr>
            <w:r>
              <w:rPr>
                <w:sz w:val="22"/>
                <w:szCs w:val="22"/>
                <w:lang w:val="en-US"/>
              </w:rPr>
              <w:t>2</w:t>
            </w:r>
          </w:p>
        </w:tc>
        <w:tc>
          <w:tcPr>
            <w:tcW w:w="3544"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3</w:t>
            </w:r>
          </w:p>
        </w:tc>
        <w:tc>
          <w:tcPr>
            <w:tcW w:w="84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4</w:t>
            </w:r>
          </w:p>
        </w:tc>
        <w:tc>
          <w:tcPr>
            <w:tcW w:w="1277"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5</w:t>
            </w:r>
          </w:p>
        </w:tc>
        <w:tc>
          <w:tcPr>
            <w:tcW w:w="1416" w:type="dxa"/>
            <w:gridSpan w:val="3"/>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6</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7</w:t>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lang w:val="en-US"/>
              </w:rPr>
            </w:pPr>
            <w:r>
              <w:rPr>
                <w:sz w:val="22"/>
                <w:szCs w:val="22"/>
                <w:lang w:val="en-US"/>
              </w:rPr>
              <w:t xml:space="preserve"> </w:t>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 Sala de Audienta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1.1. Birou Nr.1</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1.1.1.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1,8200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RpIB11A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radiatoare de pozitie pentru desfiintare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20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31,9800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28,4800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31,9800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28,4800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28,4800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1,8200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5,4300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5,4300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31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Birou Nr.1</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 Birou Nr.2</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1.2.1.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35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1,8200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7,3000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39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RpIB11A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radiatoare de pozitie pentru desfiintare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20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45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53,9600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7,3000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3,4200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50,5400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49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53,9600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50,5400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50,5400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3,4200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3,4200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3,4200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1,8200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58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10,8600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59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13,8700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63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10,8600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65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68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Birou Nr.2</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1.3. Birou Nr.3</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1.3.1.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69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1,8200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6,1500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RpIB11A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radiatoare de pozitie pentru desfiintare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20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0,9300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0,9300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78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0,9300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1.3.2.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79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40,0700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6,1500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36,5500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40,0700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36,5500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36,5500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89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1,8200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1.3.3.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92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8,4000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10,9800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1.3.4.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97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8,4000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98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1.3.5.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99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Birou Nr.3</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1.4. Coridor alaturat Biroului Nr.3</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1.4.1.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103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2,2400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109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20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1.4.2.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112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30,9200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27,1200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30,9200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30,9200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30,9200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119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2,2400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1.4.3.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125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4,6200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129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7,9000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1.4.4.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130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4,6200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1.4.5.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132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Executarea santurilor de pina la 5 cm adincime, in pereti din zidarie de caramida de 5 x 50 cm2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santurilor in pereti de pina la 50 cm2, dupa instalatii sau consolidari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Coridor alaturat Biroului Nr.3</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1.5. Coridor alaturat Biroului Nr.1,2</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1.5.1.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138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 ferestre)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4,8300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139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timplarie din lemn (Usite la canale tehnice)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20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1.5.2.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148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45,4100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149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39,7100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45,4100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39,7100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39,7100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3,9100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159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1.5.3.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161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11,2200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1.5.4.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166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11,2200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1.5.5.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168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3,0000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169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Executarea santurilor de pina la 5 cm adincime, in pereti din zidarie de caramida de 5 x 50 cm2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santurilor in pereti de pina la 50 cm2, dupa instalatii sau consolidari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MDF interioare intr-un canat, pe captuseli , montate pe ghermele existente la constructii cu inaltimi pina la 35 m (ATENTIE Usi din MDF, Acces retele ingineresti)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Coridor alaturat Biroului Nr.1,2</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1.6. HOL de asteptare, Tambur</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1.6.1.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175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(usi,)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14,6000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RpCP45A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usilor metalice intrare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kg</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timplarie din lemn (Usite la canale tehnice)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lambriuri la pereti din lemn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13,4800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179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12,3000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laminat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gresie, placi ceramice, etc (Tambur)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RpCB18B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Demolarea betoanelor vechi cu mijloace manuale, fundatii si elevatii cu dozaj de ciment peste 150 kg/mc (Demontarea pardoselelor din beton)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1,6400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10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188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1.6.2.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189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63,9200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 K=1,5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12,3000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peretilor cu placi din ghips-carton, grosime 12,5 mm, montati pe structura din profil zincat: pe suprafete plane, inclusiv glafurile usilor si ferestrelor ( micsorare usa 2 intrare )</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de ipsos: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56,0400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63,9200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56,0400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56,0400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199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lemn interioare in doua  canaturi, pe captuseli si usi pentru balcon,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 (Usa intrare Tambur-Hol de asteptare)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tabla cromata la usile metalice de intrare in cladiri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CK21D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(ATENTIE Sisteme de usi BATANTE din profile  de tip Schuco, Alutech cu BARIERA TERMICA sau analogic, inclusiv, umplutura va fi realizata din sticla securizata, tonata, procentul se va coordona cu beneficiarul, gros minim 10mm cu elementede din pelicula adeziva decorative sau inscriptii colorate. ATENTIE  usi  cu framuga, reglarea si punerea in functiune gata pentru expluatare, culoarea si forma se va coordona cu beneficiarul) Pina la montare se vor prezenta mostre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Dispozitiv automat pentru inchiderea usilor (ATENTIE Dispozitiv de tip GEZE TS 2000 - 100kg,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teava de inox pentru usile de intrare in cladiri cu lungimea minim1000mm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1.6.3.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206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13,6000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209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13,6000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16,9000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1.6.4.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211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grosimea panourilor casetate va fi minim de 12mm de calitate superioara   (culoarea si forma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13,6000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corpurilor de iluminat, Corp de ilum. LED 596x596mm 40W 4000K, p/tru tavane de tip armstrong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1.6.5. Diverse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213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RpCU05A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Executarea strapungerilor pentru conducte sau tiranti, la consolidari, in pereti sau plansee din zidarie de caramida pina la 15 cm grosime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3,0000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Executarea santurilor de pina la 5 cm adincime, in pereti din zidarie de caramida de 5 x 50 cm2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golurilor in plansee, cu mortar de ciment, dupa instalatii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RpCU07D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Matarea santurilor in pereti de pina la 50 cm2, dupa instalatii sau consolidari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RpEE01B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Montarea interupatoarelor unipolare sau bipolare pachet 10-63 A, in carcasa de aminoplast, bachelita, metalica sau portelan, montate ingropat sau aparent pe dibluri din lemn sau plastic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219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MDF interioare intr-un canat, pe captuseli , montate pe ghermele existente la constructii cu inaltimi pina la 35 m (ATENTIE Usi din MDF, Acces retele ingineresti)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Diverse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HOL de asteptare, Tambur</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1.7. Retele de incalzire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220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IC36A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Teava din polietilena armata de inalta densitate sau polipropilena armata sau nearmata, montata in coloane la  instalatii de incalzire centrala, avind diametrul exterior de pina la 20,0 mm, inclusiv. Teava din polipropilena PP-R/FB/PP-R PN20 armata cu fibra de sticla 020x2.8, VTp.700.FB20.20</w:t>
              <w:tab/>
              <w:tab/>
              <w:t>VALTEC sau analogic</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18,0000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IC36B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Teava din polietilena armata de inalta densitate sau polipropilena armata sau nearmata, montata in coloane la  instalatii de incalzire centrala, avind diametrul exterior de 25,0 mm. Teava din polipropilena PP-R/FB/PP-R PN20 armata cu fibra de sticla 025x3.5, VTp.700.FB20.25</w:t>
              <w:tab/>
              <w:t>, VALTEC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IC36C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Teava din polietilena armata de inalta densitate sau polipropilena armata sau nearmata, montata in coloane la  instalatii de incalzire centrala, avind diametrul exterior de 32,0 mm. Teava din polipropilena PP-R/FB/PP-R PN20 armata cu fibra de sticla 032x4.4, VTp.700.FB20.32</w:t>
              <w:tab/>
              <w:t>, VALTEC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IC38A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Piesa de racordare (fiting), cu 2 imbinari, din polipropilena imbinate prin polifusiune cu teava din polipropilena armata, avind diametrul exterior de pina la 20,0 mm, inclusiv (cot 90 PPR)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IC38B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Piesa de racordare (fiting), cu 2 imbinari, din polipropilena imbinate prin polifusiune cu teava din polipropilena armata, avind diametrul exterior de 25,0 mm (Cot 90 PPR)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IC38H</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Piesa de racordare (fiting), cu 3 imbinari, din polipropilena imbinate prin polifusiune cu teava din polipropilena armata, avind diametrul exterior de 25,0 mm (Teu 25x20x25 PPR)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IC38C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Piesa de racordare (fiting), cu 2 imbinari, din polipropilena imbinate prin polifusiune cu teava din polipropilena armata, avind diametrul exterior de 32,0 mm (Cot 90 PPR)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6,0000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IC38I</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Piesa de racordare (fiting), cu 3 imbinari, din polipropilena imbinate prin polifusiune cu teava din polipropilena armata, avind diametrul exterior de 32,0 mm (Teu 32x25x32 PPR)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228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IB05A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Radiatoare din aluminiu, corpul de radiator avind pina la 10 elemente, inclusiv (ATENTIE De exclus resursul: Radiator, vor fi livrate de catre beneficiar )</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rHeight w:val="997" w:hRule="atLeast"/>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Retele de incalzire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Sala de Audienta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2. HOL Central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2.1.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229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RpCP45A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Demontarea usilor metalice intrare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kg</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145,0000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timplarie din lemn (usi, ferestre, obloane, cutii, rulou, masti, etc.) (Demontarea Tambur din lemn masiv inclusiv tavanul)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47,4700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 locurile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10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2,5100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TrI1AG12G2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Materialele din grupa G - cherestea, rasinoase -, avind lungimea de peste 3 m - incarcarea-de pe teren, in auto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2,5100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2,5100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2.2.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235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peretilor (Betongrunt)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15,2000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5 mm grosime, executate manual, cu amestec uscat pe baza de ipsos, la pereti si pereti despartitori, preparare manuala a mortarului.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CF17C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Diverse lucrari - strat de impaslitura din fibra de sticla aplicat pe suprafata elementelor prefabricate din b.c.a. lipit cu aracet, inclusiv stratul de amorsaj</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grundului cu cuart "Gleta" intr-un strat, la pereti si tavane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239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CF30A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exterioare de 2-3 mm. grosime, executate manual. cu amestec "TINC" la pereti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 (Toata suprafata)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85,5900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Toata suprafata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85,5900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2.3. Reconditionare usa centrala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242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R5F04I</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Restaurarea usilor oarbe si a tamburelor (fara finisarea suprafetelor): din lemn de stejar, pina la 50 % restaurare: complexe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5,4400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RpCQ02A1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Inlocuirea geamurilor ornament sau colorate, in ochiuri sub 0,25 mp, cu chit si cuie, montate pe timplarie din lemn, pentru suprafete sub 5 mp la un punct de lucru. (ATENTIE Schimbarea iluminatoarelor la usa centrala, Geam nou triplex sau securizat grosimea minim 8mm, Tonat, procentajul va fi coordonat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R5F03D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Restaurarea tocurilor de usa: din lemn de stejar, cu suprafata golului pina la 6,0 m2: la usi in peretii din zidarie de piatra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CN16A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cu lacuri si vopsele pe baza de ulei aplicate pe timplarie din lemn, executate cu vopsele de ulei in 3 straturi la usi si ferestre gata grunduite (ATENTIE Lac folosit pentru aplicarea in exterior, rezistent la conditiile climaterice) Culoarea,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13,8800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Dispozitiv automat pentru inchiderea usilor (ATENTIE Dispozitiv de tip GEZE TS 2000 - 100kg,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teava de inox pentru usile de intrare in cladiri cu lungimea minim1000mm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248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Broasca aplicata sistem Yalle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Reconditionare usa centrala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HOL Central</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3. Lucrari exterioare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3.1. Prag Sala de Audienta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3.1.1.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249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RpCK42C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Desfacerea pardoselilor reci din placi de beton.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8,0600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RpCM33C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placajelor din marmura, piatra, granit etc., de pe trepte si contratrepte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3,5400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RpCM33B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placajelor din marmura, piatra, granit sau similare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RpDB35A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pavaje sau fundatii din piatra bruta, asezate pe nisip (Locul de amplasare Pandus)</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 (Inclusiv materialul sapat)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3.1.2. Pandus, Placari Granit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255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TsA01B1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 sapaturi p/tru realizarea fundatiei pandus)</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1,2000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TsC54C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de fundatie din pietris</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0,2500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CB02A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Cofraje din panouri refolosibile, cu asteriala din scinduri de rasinoase scurte si subscurte pentru turnarea betonului in cuzineti, fundatii pahar si fundatii de utilaje inclusiv sprijinirile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CC01A1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Armaturi din otel beton PC 52 fasonate in ateliere de santier cu diametrul barelor pina la 8 mm inclusiv (Plasa 100x100x8mm A III.)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kg</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259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CA04B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Beton turnat in placi, preparat cu centrala de betoane si turnarea cu mijloace clasice beton armat clasa (B-20), la inaltimi pina la 35 m inclusiv</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pardoselelor cu grunt patrundere adinca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13,4000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CG19A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granit natural, gata fasonate si finisate avind dimensiuni placa minim 0,6 x 1,2 m  grosimea de 3 cm, montate simplu de culoare rosietica,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9,3800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CI21B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peretilor cu placi din granit: dimensiuni pina la 600 x 1200 mm cu grosimea minim 20 mm (pina la  montare vor fi prezentate mostre beneficiarului) inclusiv plinte la imbinarea vu peretii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RCsJ34C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Restaurari la fatade, prin reconditionarea fatadei vechi in cimp continuu cu praf de piatra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CH06A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Mina curenta INOX montata pe suporti de 15 cm inaltime,, fixata in zid de caramida sau parapet de beton, confectionata din teava din INOX  (ATENTIE mina curenta inclusiv pentru persoane cu dezabilitati)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5,2000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Pandus, Placari Granit</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Prag Sala de Audienta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3.2. Prag Central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266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RpCK42C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Desfacerea pardoselilor reci din placi de beton.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8,0600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RpCM33C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placajelor din marmura, piatra, granit etc., de pe trepte si contratrepte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22,4000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 (Inclusiv materialul sapat)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269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CA04B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Beton turnat in placi, preparat cu centrala de betoane si turnarea cu mijloace clasice beton armat clasa (B-20), la inaltimi pina la 35 m inclusiv (Indreptarea elementelor)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0,3200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pardoselelor cu grunt patrundere adinca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20,1000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CG19A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granit natural, gata fasonate si finisate avind dimensiuni placa minim 0,6 x 1,2 m  grosimea de 3 cm, montate simplu de culoare rosietica,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8,0600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11,2000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CI21B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peretilor cu placi din granit: dimensiuni pina la 600 x 1200 mm cu grosimea minim 20 mm (pina la  montare vor fi prezentate mostre beneficiarului) inclusiv plinte la imbinarea cu peretii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1,8000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275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RCsJ34C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Restaurari la fatade, prin reconditionarea fatadei vechi in cimp continuu cu praf de piatra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Arial CYR" w:ascii="Arial CYR" w:hAnsi="Arial CYR"/>
                <w:sz w:val="22"/>
                <w:szCs w:val="22"/>
                <w:lang w:val="en-US"/>
              </w:rPr>
              <w:t>3,2000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Prag Central</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3.3. Glafuri din tabla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276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RpCI23C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Glafuri si copertine din tabla protejata anticoroziv (Culoarea se va coordona cu beneficiarul), montate pe o sapa de egalizare din mortar de ciment M-100 T, pe un strat de carton bitumat sau impaslitura din fibre de sticla bitumate, la cladiri existente, din tabla de 0,5 mm grosime, cu latimea desfasurata intre 50 si 100 cm inclusiv (Confectionarea si montarea glafurilor la ferestre si parapetul edificiului cu desfasurata variabila, mediu 600 mm) ATENTIE de exclus resursul Platforma telescopica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rFonts w:cs="Arial CYR" w:ascii="Arial CYR" w:hAnsi="Arial CYR"/>
                <w:sz w:val="22"/>
                <w:szCs w:val="22"/>
                <w:lang w:val="en-US"/>
              </w:rPr>
              <w:t>111,3000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Glafuri din tabla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Lucrari exterioare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rHeight w:val="20" w:hRule="exact"/>
        </w:trPr>
        <w:tc>
          <w:tcPr>
            <w:tcW w:w="675"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010"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b/>
                <w:b/>
                <w:bCs/>
                <w:sz w:val="22"/>
                <w:szCs w:val="22"/>
                <w:lang w:val="en-US"/>
              </w:rPr>
            </w:pPr>
            <w:r>
              <w:rPr>
                <w:b/>
                <w:bCs/>
                <w:sz w:val="22"/>
                <w:szCs w:val="22"/>
                <w:lang w:val="en-US"/>
              </w:rPr>
            </w:r>
          </w:p>
        </w:tc>
        <w:tc>
          <w:tcPr>
            <w:tcW w:w="1215"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7"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rHeight w:val="20" w:hRule="atLeast"/>
        </w:trPr>
        <w:tc>
          <w:tcPr>
            <w:tcW w:w="675" w:type="dxa"/>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010"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15"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7"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9"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Total</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top w:val="single" w:sz="4"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Asigurari sociale</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Transportarea materialelor</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Cheltueli de regie</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Beneficiu de deviz</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TVA</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rHeight w:val="318" w:hRule="atLeast"/>
        </w:trPr>
        <w:tc>
          <w:tcPr>
            <w:tcW w:w="709"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2598" w:type="dxa"/>
            <w:tcBorders>
              <w:left w:val="single" w:sz="6" w:space="0" w:color="000000"/>
              <w:bottom w:val="single" w:sz="6" w:space="0" w:color="000000"/>
            </w:tcBorders>
            <w:tcMar>
              <w:left w:w="107" w:type="dxa"/>
              <w:right w:w="107" w:type="dxa"/>
            </w:tcMar>
            <w:vAlign w:val="bottom"/>
          </w:tcPr>
          <w:p>
            <w:pPr>
              <w:pStyle w:val="Normal"/>
              <w:tabs>
                <w:tab w:val="clear" w:pos="720"/>
              </w:tabs>
              <w:bidi w:val="0"/>
              <w:ind w:left="0" w:right="0" w:hanging="0"/>
              <w:rPr>
                <w:rFonts w:ascii="Times New Roman" w:hAnsi="Times New Roman"/>
                <w:b/>
                <w:b/>
                <w:bCs/>
                <w:sz w:val="22"/>
                <w:szCs w:val="22"/>
                <w:lang w:val="en-US"/>
              </w:rPr>
            </w:pPr>
            <w:r>
              <w:rPr>
                <w:b/>
                <w:bCs/>
                <w:sz w:val="22"/>
                <w:szCs w:val="22"/>
                <w:lang w:val="en-US"/>
              </w:rPr>
            </w:r>
          </w:p>
          <w:p>
            <w:pPr>
              <w:pStyle w:val="Normal"/>
              <w:tabs>
                <w:tab w:val="clear" w:pos="720"/>
              </w:tabs>
              <w:bidi w:val="0"/>
              <w:ind w:left="0" w:right="0" w:hanging="0"/>
              <w:rPr>
                <w:lang w:val="en-US"/>
              </w:rPr>
            </w:pPr>
            <w:r>
              <w:rPr>
                <w:b/>
                <w:bCs/>
                <w:sz w:val="22"/>
                <w:szCs w:val="22"/>
                <w:lang w:val="en-US"/>
              </w:rPr>
              <w:t>Total deviz:</w:t>
            </w:r>
          </w:p>
          <w:p>
            <w:pPr>
              <w:pStyle w:val="Normal"/>
              <w:tabs>
                <w:tab w:val="clear" w:pos="720"/>
              </w:tabs>
              <w:bidi w:val="0"/>
              <w:ind w:left="0" w:right="0" w:hanging="0"/>
              <w:rPr>
                <w:lang w:val="en-US"/>
              </w:rPr>
            </w:pPr>
            <w:r>
              <w:rPr>
                <w:b/>
                <w:bCs/>
                <w:sz w:val="22"/>
                <w:szCs w:val="22"/>
                <w:lang w:val="en-US"/>
              </w:rPr>
              <w:t>Inclusiv salariu</w:t>
            </w:r>
          </w:p>
        </w:tc>
        <w:tc>
          <w:tcPr>
            <w:tcW w:w="1451"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9"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8"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618" w:type="dxa"/>
            <w:gridSpan w:val="2"/>
            <w:tcBorders>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bl>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pPr>
      <w:r>
        <w:rPr/>
      </w:r>
    </w:p>
    <w:sectPr>
      <w:type w:val="nextPage"/>
      <w:pgSz w:w="11906" w:h="16838"/>
      <w:pgMar w:left="1418" w:right="454" w:header="0" w:top="851" w:footer="0"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imes New Roman CE">
    <w:charset w:val="cc"/>
    <w:family w:val="roman"/>
    <w:pitch w:val="variable"/>
  </w:font>
  <w:font w:name="Arial CYR">
    <w:charset w:val="cc"/>
    <w:family w:val="roman"/>
    <w:pitch w:val="variable"/>
  </w:font>
</w:fonts>
</file>

<file path=word/settings.xml><?xml version="1.0" encoding="utf-8"?>
<w:settings xmlns:w="http://schemas.openxmlformats.org/wordprocessingml/2006/main">
  <w:zoom w:percent="15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RO" w:eastAsia="zh-CN" w:bidi="hi-IN"/>
      </w:rPr>
    </w:rPrDefault>
    <w:pPrDefault>
      <w:pPr/>
    </w:pPrDefault>
  </w:docDefaults>
  <w:style w:type="paragraph" w:styleId="Normal">
    <w:name w:val="Normal"/>
    <w:qFormat/>
    <w:pPr>
      <w:widowControl/>
      <w:bidi w:val="0"/>
      <w:jc w:val="left"/>
      <w:textAlignment w:val="auto"/>
    </w:pPr>
    <w:rPr>
      <w:rFonts w:ascii="Times New Roman" w:hAnsi="Times New Roman" w:eastAsia="Arial CYR"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Основной текст Знак"/>
    <w:basedOn w:val="DefaultParagraphFont"/>
    <w:qFormat/>
    <w:rPr/>
  </w:style>
  <w:style w:type="character" w:styleId="2">
    <w:name w:val="Основной текст 2 Знак"/>
    <w:basedOn w:val="DefaultParagraphFont"/>
    <w:qFormat/>
    <w:rPr/>
  </w:style>
  <w:style w:type="character" w:styleId="Style16">
    <w:name w:val="Верхний колонтитул Знак"/>
    <w:basedOn w:val="DefaultParagraphFont"/>
    <w:qFormat/>
    <w:rPr>
      <w:rFonts w:ascii="Arial" w:hAnsi="Arial" w:cs="Arial"/>
      <w:lang w:val="ro-RO" w:eastAsia="ar-SA"/>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jc w:val="center"/>
    </w:pPr>
    <w:rPr>
      <w:sz w:val="24"/>
      <w:szCs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Table">
    <w:name w:val="Normal Table"/>
    <w:qFormat/>
    <w:pPr>
      <w:widowControl/>
      <w:bidi w:val="0"/>
      <w:spacing w:lineRule="auto" w:line="256" w:before="0" w:after="160"/>
      <w:jc w:val="left"/>
      <w:textAlignment w:val="auto"/>
    </w:pPr>
    <w:rPr>
      <w:rFonts w:ascii="Times New Roman" w:hAnsi="Times New Roman" w:eastAsia="Arial CYR" w:cs="Times New Roman"/>
      <w:color w:val="auto"/>
      <w:kern w:val="2"/>
      <w:sz w:val="22"/>
      <w:szCs w:val="22"/>
      <w:lang w:val="ru-RU" w:eastAsia="ru-RU" w:bidi="ar-SA"/>
    </w:rPr>
  </w:style>
  <w:style w:type="paragraph" w:styleId="BodyText2">
    <w:name w:val="Body Text 2"/>
    <w:basedOn w:val="Normal"/>
    <w:qFormat/>
    <w:pPr>
      <w:jc w:val="center"/>
    </w:pPr>
    <w:rPr>
      <w:sz w:val="22"/>
      <w:szCs w:val="22"/>
    </w:rPr>
  </w:style>
  <w:style w:type="paragraph" w:styleId="HeaderandFooter">
    <w:name w:val="Header and Footer"/>
    <w:basedOn w:val="Normal"/>
    <w:qFormat/>
    <w:pPr/>
    <w:rPr/>
  </w:style>
  <w:style w:type="paragraph" w:styleId="Header">
    <w:name w:val="Header"/>
    <w:basedOn w:val="Normal"/>
    <w:pPr>
      <w:tabs>
        <w:tab w:val="clear" w:pos="720"/>
        <w:tab w:val="center" w:pos="4677" w:leader="none"/>
        <w:tab w:val="right" w:pos="9355" w:leader="none"/>
      </w:tabs>
      <w:suppressAutoHyphens w:val="true"/>
    </w:pPr>
    <w:rPr>
      <w:rFonts w:ascii="Arial" w:hAnsi="Arial" w:cs="Arial"/>
      <w:lang w:eastAsia="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LibreOffice/6.4.0.3$Windows_X86_64 LibreOffice_project/b0a288ab3d2d4774cb44b62f04d5d28733ac6df8</Application>
  <Pages>11</Pages>
  <Words>7299</Words>
  <Characters>40087</Characters>
  <CharactersWithSpaces>45926</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2025-05-21T23:33:00Z</dcterms:created>
  <dc:creator>XTreme.ws</dc:creator>
  <dc:description/>
  <dc:language>ro-RO</dc:language>
  <cp:lastModifiedBy/>
  <dcterms:modified xsi:type="dcterms:W3CDTF">2026-01-21T13:54:00Z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Nicolae Berzan</vt:lpwstr>
  </property>
</Properties>
</file>