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eastAsia="en-US"/>
              </w:rPr>
              <w:t>S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val="zh-CN" w:eastAsia="en-US"/>
              </w:rPr>
              <w:t>ervicii de expertiză tehnică a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eastAsia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val="zh-CN" w:eastAsia="en-US"/>
              </w:rPr>
              <w:t>obiectelor industriale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eastAsia="en-US"/>
              </w:rPr>
              <w:t xml:space="preserve"> potențial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val="zh-CN" w:eastAsia="en-US"/>
              </w:rPr>
              <w:t xml:space="preserve"> periculoase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691"/>
        <w:gridCol w:w="2098"/>
        <w:gridCol w:w="1107"/>
        <w:gridCol w:w="1406"/>
        <w:gridCol w:w="3394"/>
        <w:gridCol w:w="3068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0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4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0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>Lot 1. Servicii de expertiză tehnică a obiectelor industriale potențial periculoase (cu scopul prelungirii termenului de exploatare)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ГМ-40/39, 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>2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213.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ГМ-40/39, 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>2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213.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Tip: Un singur tambur, tub de apă vertical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Presiunea aburului în tambur: 44 kgf/cm²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Temperatura calculată a aburului supraîncălzit: 440°C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Diametrul și grosimea peretelui tamburului: 1512×44 mm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Țevi ecran: Ø83×4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Țevi economizor apă: Ø28×4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Țevi supraîncălzitor (treapta I): Ø38×3,5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Țevi supraîncălzitor (treapta II): Ø42×3,5.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4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1119.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4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1119.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 xml:space="preserve">Tip: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Un singur tambur, tub de apă vertical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Presiunea aburului în tambur: 44 kgf/cm²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Temperatura calculată a aburului supraîncălzit: 440°C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Diametrul și grosimea peretelui tamburului: 1592×44 mm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ecran: Ø60×3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economizor apă: Ø32×3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supraîncălzitor (treapta I): Ø38×3,5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supraîncălzitor (treapta II): Ø42×3,5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5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1586.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5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1586.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 xml:space="preserve">Tip: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Un singur tambur, tub de apă vertical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Presiunea aburului în tambur: 44 kgf/cm²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Temperatura calculată a aburului supraîncălzit: 440°C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Diametrul și grosimea peretelui tamburului: 1592×44 mm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ecran: Ø60×3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economizor apă: Ø32×3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supraîncălzitor (treapta I): Ø38×3,5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supraîncălzitor (treapta II): Ø42×3,5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 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6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2731.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 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6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2731.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 xml:space="preserve">Tip: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Un singur tambur, tub de apă vertical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Presiunea aburului în tambur: 44 kgf/cm²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Temperatura calculată a aburului supraîncălzit: 440°C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Diametrul și grosimea peretelui tamburului: 1500×40 mm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ecran: Ø60×3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economizor apă: Ø32×3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supraîncălzitor (treapta I): Ø38×3,5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supraîncălzitor (treapta II): Ø42×3,5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abur al cazanelor, nr. de înregistrare 1120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abur al cazanelor, nr. de înregistrare 1120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 admisă: 39,0 kgf/cm²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Temperatura admisă: 450°C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Diametru și lungimea conductei de abur: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val="zh-CN" w:eastAsia="ru-RU"/>
              </w:rPr>
              <w:t>Ø273×11– 42 metri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eastAsia="ru-RU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abur al cazanelor, nr. de înregistrare 217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abur al cazanelor, nr. de înregistrare 217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 admisă: 39,0 kgf/cm²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Temperatura admisă: 450°C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Diametru și lungimea conductei de abur: Ø219×8 – 54,9 metri</w:t>
            </w:r>
            <w:r>
              <w:rPr>
                <w:rFonts w:hint="default" w:ascii="Times New Roman" w:hAnsi="Times New Roman" w:cs="Times New Roman"/>
                <w:color w:val="auto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alimentare al agregatelor de cazane, nr. de înregistrare 1121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alimentare al agregatelor de cazane, nr. de înregistrare 1121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 admisă: 64,0 kgf/cm²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Temperatura admisă: 150°C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Diametru și lungimea conductei de ap</w:t>
            </w:r>
            <w:r>
              <w:rPr>
                <w:rFonts w:hint="default" w:ascii="Times New Roman" w:hAnsi="Times New Roman" w:cs="Times New Roman"/>
                <w:color w:val="auto"/>
              </w:rPr>
              <w:t>ă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: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val="zh-CN" w:eastAsia="ru-RU"/>
              </w:rPr>
              <w:t>Ø159х7 – 212,7 metri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eastAsia="ru-RU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alimentare al agregatelor de cazane, nr. de înregistrare 217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alimentare al agregatelor de cazane, nr. de înregistrare 217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 admisă: 59,0 kgf/cm²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Temperatura admisă: 150°C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Diametru și lungimea conductei de ap</w:t>
            </w:r>
            <w:r>
              <w:rPr>
                <w:rFonts w:hint="default" w:ascii="Times New Roman" w:hAnsi="Times New Roman" w:cs="Times New Roman"/>
                <w:color w:val="auto"/>
              </w:rPr>
              <w:t>ă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: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val="zh-CN" w:eastAsia="ru-RU"/>
              </w:rPr>
              <w:t>Ø159х8 – 103,0 metri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eastAsia="ru-RU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presiune al pompelor de alimentare, nr. de înregistrare 7693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presiune al pompelor de alimentare, nr. de înregistrare 7693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 admisă: 64,0 kgf/cm²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Temperatura admisă: 145°C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Diametru și lungimea conductei de ap</w:t>
            </w:r>
            <w:r>
              <w:rPr>
                <w:rFonts w:hint="default" w:ascii="Times New Roman" w:hAnsi="Times New Roman" w:cs="Times New Roman"/>
                <w:color w:val="auto"/>
              </w:rPr>
              <w:t>ă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: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val="zh-CN" w:eastAsia="ru-RU"/>
              </w:rPr>
              <w:t>Ø159х9 – 109,6 metri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eastAsia="ru-RU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color w:val="auto"/>
                <w:szCs w:val="24"/>
                <w:lang w:val="zh-CN"/>
              </w:rPr>
              <w:t>Schimbător de căldură ПБ-3,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 xml:space="preserve"> nr. de înregistrare 7796.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color w:val="auto"/>
                <w:szCs w:val="24"/>
                <w:lang w:val="zh-CN"/>
              </w:rPr>
              <w:t>Schimbător de căldură ПБ-3,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 xml:space="preserve"> nr. de înregistrare 7796.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 admisibilă a aburului: 7 kgf/cm2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 admisibilă a apei: 15 kgf/cm2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Temperatură admisibilă a aburului: 400°C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Temperatură admisibilă a apei: 150°C</w:t>
            </w:r>
            <w:r>
              <w:rPr>
                <w:rFonts w:hint="default" w:ascii="Times New Roman" w:hAnsi="Times New Roman" w:cs="Times New Roman"/>
                <w:color w:val="auto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vertAlign w:val="baseline"/>
              </w:rPr>
              <w:t>Lot 2. Servicii de inspecție tehnică a obiectelor industriale potențial periculoase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Cazan de abur ГМ-40/39, nr.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787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Cazan de abur ГМ-40/39, nr.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787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Recipient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  <w:t xml:space="preserve">ПБ - 1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10194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Recipient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  <w:t xml:space="preserve">ПБ - 1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10194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Preîncălzitor de presiune înaltă ПВД-1 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10151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Preîncălzitor de presiune înaltă ПВД-1 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10151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  П-отбора ТГ-1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80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  П-отбора ТГ-1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80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Instalație de reducere și răcire a aburului РОУ-1 с п/п высокая сторона.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2330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Instalație de reducere și răcire a aburului РОУ-1 с п/п высокая сторона.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2330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РОУ-1 (низкая сторона)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2650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РОУ-1 (низкая сторона)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2650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alimentare/ Питательный коллектор КА.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2733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alimentare/ Питательный коллектор КА.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2733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Instalație de reducere și răcire  a aburului РОУ-5.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3273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Instalație de reducere și răcire  a aburului РОУ-5.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3273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Conductă de abur РОУ-5 (высокая и низкая сторона)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3279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Conductă de abur РОУ-5 (высокая и низкая сторона)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3279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Паропровод ТГ-4 (низкая сторона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8 ати,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ПБ-3),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3280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Паропровод ТГ-4 (низкая сторона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8 ати,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ПБ-3),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3280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2,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4166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2,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4166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4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7453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4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7453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abur/Паровой коллектор котлов.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7559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abur/Паровой коллектор котлов.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7559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К-7. Паровой коллектор от ПП-80 до заглушки.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7569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К-7. Паровой коллектор от ПП-80 до заглушки.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7569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alimentare/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u-RU"/>
              </w:rPr>
              <w:t>П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итательный коллектор КА-7 от ПВ-15-1 до загл. ПВД-5, ХС III- оч.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7570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alimentare/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u-RU"/>
              </w:rPr>
              <w:t>П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итательный коллектор КА-7 от ПВ-15-1 до загл. ПВД-5, ХС III- оч.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7570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7585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7585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ТГ-3.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ТГ-3.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6.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7691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6.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7691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ПВД-5 (а, б).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7692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ПВД-5 (а, б).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7692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Паровая перемычка от ПП-1 до ПП-20.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7828 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Паровая перемычка от ПП-1 до ПП-20.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7828 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7855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7855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3.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8124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3.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8124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Паровая перемычка РОУ-1- РОУ-5.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8179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Паровая перемычка РОУ-1- РОУ-5.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8179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Conductă de alimentare/ Питательный трубопровод ПВД-1.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8275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Conductă de alimentare/ Питательный трубопровод ПВД-1.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8275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 xml:space="preserve">*Notă: Ofertantul trebuie să completeze coloana 6 cu specificația tehnică desfășurată, adică să indice toți parametrii tehnici detaliat pentru </w:t>
      </w:r>
      <w:r>
        <w:rPr>
          <w:rFonts w:hint="default" w:ascii="Times New Roman" w:hAnsi="Times New Roman" w:cs="Times New Roman"/>
          <w:b/>
          <w:bCs/>
          <w:sz w:val="20"/>
          <w:szCs w:val="20"/>
          <w:lang/>
        </w:rPr>
        <w:t>serviciile</w:t>
      </w:r>
      <w:r>
        <w:rPr>
          <w:rFonts w:hint="default" w:ascii="Times New Roman" w:hAnsi="Times New Roman" w:cs="Times New Roman"/>
          <w:b/>
          <w:bCs/>
          <w:sz w:val="20"/>
          <w:szCs w:val="20"/>
        </w:rPr>
        <w:t xml:space="preserve"> ofertate.</w:t>
      </w:r>
    </w:p>
    <w:p>
      <w:pPr>
        <w:rPr>
          <w:rFonts w:hint="default" w:ascii="Times New Roman" w:hAnsi="Times New Roman" w:cs="Times New Roman"/>
          <w:b/>
          <w:bCs/>
          <w:sz w:val="21"/>
          <w:szCs w:val="21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eastAsia="en-US"/>
              </w:rPr>
              <w:t>S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val="zh-CN" w:eastAsia="en-US"/>
              </w:rPr>
              <w:t>ervicii de expertiză tehnică a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eastAsia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val="zh-CN" w:eastAsia="en-US"/>
              </w:rPr>
              <w:t>obiectelor industriale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eastAsia="en-US"/>
              </w:rPr>
              <w:t xml:space="preserve"> potențial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val="zh-CN" w:eastAsia="en-US"/>
              </w:rPr>
              <w:t xml:space="preserve"> periculoase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677"/>
        <w:gridCol w:w="2719"/>
        <w:gridCol w:w="967"/>
        <w:gridCol w:w="943"/>
        <w:gridCol w:w="1296"/>
        <w:gridCol w:w="1318"/>
        <w:gridCol w:w="1286"/>
        <w:gridCol w:w="1360"/>
        <w:gridCol w:w="2432"/>
        <w:gridCol w:w="1200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67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71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96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94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1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28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4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97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67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71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96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94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1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28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4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97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Lot 1. Servicii de expertiză tehnică a obiectelor industriale potențial periculoase (cu scopul prelungirii termenului de exploatare)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ГМ-40/39, 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>2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213.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highlight w:val="none"/>
                <w:u w:val="single"/>
                <w:vertAlign w:val="baseline"/>
                <w:lang w:eastAsia="zh-CN" w:bidi="ar-SA"/>
              </w:rPr>
              <w:t>Termen-limită: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eastAsia="zh-CN" w:bidi="ar-SA"/>
              </w:rPr>
              <w:t>Etapa I - 2</w:t>
            </w:r>
            <w:r>
              <w:rPr>
                <w:rFonts w:hint="default" w:ascii="Times New Roman" w:hAnsi="Times New Roman" w:cs="Times New Roman"/>
                <w:highlight w:val="none"/>
                <w:u w:val="single"/>
                <w:vertAlign w:val="baseline"/>
                <w:lang w:eastAsia="zh-CN" w:bidi="ar-SA"/>
              </w:rPr>
              <w:t>0</w:t>
            </w:r>
            <w:r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eastAsia="zh-CN" w:bidi="ar-SA"/>
              </w:rPr>
              <w:t>.0</w:t>
            </w:r>
            <w:r>
              <w:rPr>
                <w:rFonts w:hint="default" w:ascii="Times New Roman" w:hAnsi="Times New Roman" w:cs="Times New Roman"/>
                <w:highlight w:val="none"/>
                <w:u w:val="single"/>
                <w:vertAlign w:val="baseline"/>
                <w:lang w:eastAsia="zh-CN" w:bidi="ar-SA"/>
              </w:rPr>
              <w:t>5</w:t>
            </w:r>
            <w:r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eastAsia="zh-CN" w:bidi="ar-SA"/>
              </w:rPr>
              <w:t>.2026.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eastAsia="zh-CN" w:bidi="ar-SA"/>
              </w:rPr>
              <w:t>Etapa II - 22 zile lucrătoare de la recepția Rapoartelor de control tehnic, dar nu mai târziu de 01.09.20</w:t>
            </w:r>
            <w:bookmarkStart w:id="0" w:name="_GoBack"/>
            <w:bookmarkEnd w:id="0"/>
            <w:r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eastAsia="zh-CN" w:bidi="ar-SA"/>
              </w:rPr>
              <w:t>26.</w:t>
            </w:r>
          </w:p>
        </w:tc>
        <w:tc>
          <w:tcPr>
            <w:tcW w:w="1200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MD21ML022510000000004015</w:t>
            </w: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4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1119.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singl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5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1586.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 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6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2731.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abur al cazanelor, nr. de înregistrare 1120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abur al cazanelor, nr. de înregistrare 217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alimentare al agregatelor de cazane, nr. de înregistrare 1121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alimentare al agregatelor de cazane, nr. de înregistrare 217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presiune al pompelor de alimentare, nr. de înregistrare 7693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Cambria" w:cs="Times New Roman"/>
                <w:color w:val="auto"/>
                <w:szCs w:val="24"/>
                <w:lang w:val="zh-CN"/>
              </w:rPr>
              <w:t>Schimbător de căldură ПБ-3,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 xml:space="preserve"> nr. de înregistrare 7796.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tabs>
                <w:tab w:val="left" w:pos="600"/>
              </w:tabs>
              <w:spacing w:after="0" w:line="240" w:lineRule="auto"/>
              <w:jc w:val="both"/>
              <w:textAlignment w:val="bottom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  <w:t xml:space="preserve">TOTAL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>LOT 1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943" w:type="dxa"/>
            <w:vAlign w:val="center"/>
          </w:tcPr>
          <w:p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textAlignment w:val="bottom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  <w:u w:val="none"/>
                <w:vertAlign w:val="baseline"/>
              </w:rPr>
              <w:t>Lot 2. Servicii de inspecție tehnică a obiectelor industriale potențial periculoase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Cazan de abur ГМ-40/39, nr.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787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none"/>
                <w:u w:val="singl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highlight w:val="none"/>
                <w:u w:val="single"/>
                <w:vertAlign w:val="baseline"/>
                <w:lang w:eastAsia="zh-CN" w:bidi="ar-SA"/>
              </w:rPr>
              <w:t xml:space="preserve">Termen-limită: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eastAsia="zh-CN" w:bidi="ar-SA"/>
              </w:rPr>
              <w:t>Inspecția tehnică periodică - 01.09.2026.</w:t>
            </w:r>
          </w:p>
        </w:tc>
        <w:tc>
          <w:tcPr>
            <w:tcW w:w="1200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Recipient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  <w:t xml:space="preserve">ПБ - 1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10194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Preîncălzitor de presiune înaltă ПВД-1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10151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  П-отбора ТГ-1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80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Instalație de reducere și răcire a aburului РОУ-1 с п/п высокая сторона.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2330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РОУ-1 (низкая сторона)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2650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alimentare/ Питательный коллектор КА.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2733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Instalație de reducere și răcire  a aburului РОУ-5.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3273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Conductă de abur РОУ-5 (высокая и низкая сторона)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3279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Паропровод ТГ-4 (низкая сторона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8 ати,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ПБ-3),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3280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2,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4166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4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7453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abur/Паровой коллектор котлов.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7559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К-7. Паровой коллектор от ПП-80 до заглушки.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7569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alimentare/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u-RU"/>
              </w:rPr>
              <w:t>П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итательный коллектор КА-7 от ПВ-15-1 до загл. ПВД-5, ХС III- оч.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7570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7585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ТГ-3.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7690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6.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7691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ПВД-5 (а, б).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7692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Паровая перемычка от ПП-1 до ПП-20.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7828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7855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3.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8124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Паровая перемычка РОУ-1- РОУ-5.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8179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Conductă de alimentare/ Питательный трубопровод ПВД-1.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8275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tabs>
                <w:tab w:val="left" w:pos="600"/>
              </w:tabs>
              <w:spacing w:after="0" w:line="240" w:lineRule="auto"/>
              <w:jc w:val="both"/>
              <w:textAlignment w:val="bottom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  <w:t xml:space="preserve">TOTAL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>LOT 2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943" w:type="dxa"/>
            <w:vAlign w:val="center"/>
          </w:tcPr>
          <w:p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textAlignment w:val="bottom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6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highlight w:val="yellow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yellow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>TOTAL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943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94DFDD13"/>
    <w:multiLevelType w:val="singleLevel"/>
    <w:tmpl w:val="94DFDD13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3DA9C2E2"/>
    <w:multiLevelType w:val="singleLevel"/>
    <w:tmpl w:val="3DA9C2E2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17D091D"/>
    <w:rsid w:val="02346795"/>
    <w:rsid w:val="02462A4F"/>
    <w:rsid w:val="03962305"/>
    <w:rsid w:val="040E6A75"/>
    <w:rsid w:val="04296986"/>
    <w:rsid w:val="05622F19"/>
    <w:rsid w:val="05687487"/>
    <w:rsid w:val="07566DC1"/>
    <w:rsid w:val="07E0084F"/>
    <w:rsid w:val="081C68A3"/>
    <w:rsid w:val="09BB20A2"/>
    <w:rsid w:val="0A1F41F1"/>
    <w:rsid w:val="0B4E6151"/>
    <w:rsid w:val="0C722C9C"/>
    <w:rsid w:val="0D7F51EF"/>
    <w:rsid w:val="0DB75CB8"/>
    <w:rsid w:val="0DE66214"/>
    <w:rsid w:val="0E601383"/>
    <w:rsid w:val="0E7A2EC8"/>
    <w:rsid w:val="0FC02FFE"/>
    <w:rsid w:val="0FD44869"/>
    <w:rsid w:val="0FF11F36"/>
    <w:rsid w:val="103877B0"/>
    <w:rsid w:val="10425480"/>
    <w:rsid w:val="12451BE4"/>
    <w:rsid w:val="124A57A9"/>
    <w:rsid w:val="12575467"/>
    <w:rsid w:val="12D215CD"/>
    <w:rsid w:val="130D44C7"/>
    <w:rsid w:val="139B6ACA"/>
    <w:rsid w:val="140A5C07"/>
    <w:rsid w:val="14262F35"/>
    <w:rsid w:val="14814EC1"/>
    <w:rsid w:val="14C31A74"/>
    <w:rsid w:val="15433EAE"/>
    <w:rsid w:val="15440FF8"/>
    <w:rsid w:val="15CF515F"/>
    <w:rsid w:val="16176152"/>
    <w:rsid w:val="16937C78"/>
    <w:rsid w:val="17001CBE"/>
    <w:rsid w:val="170736D8"/>
    <w:rsid w:val="1711447D"/>
    <w:rsid w:val="177C1E69"/>
    <w:rsid w:val="17FC6C44"/>
    <w:rsid w:val="180F092C"/>
    <w:rsid w:val="186F27B0"/>
    <w:rsid w:val="195D06C0"/>
    <w:rsid w:val="1A235F91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115A8C"/>
    <w:rsid w:val="1F7C2CE0"/>
    <w:rsid w:val="20642787"/>
    <w:rsid w:val="21467084"/>
    <w:rsid w:val="21940B38"/>
    <w:rsid w:val="224E40E6"/>
    <w:rsid w:val="22575BBF"/>
    <w:rsid w:val="233D0DFF"/>
    <w:rsid w:val="25917193"/>
    <w:rsid w:val="259D1413"/>
    <w:rsid w:val="262172E1"/>
    <w:rsid w:val="2651338D"/>
    <w:rsid w:val="28072153"/>
    <w:rsid w:val="288F05BB"/>
    <w:rsid w:val="2B8A559C"/>
    <w:rsid w:val="2C387782"/>
    <w:rsid w:val="2E451284"/>
    <w:rsid w:val="2FAB6462"/>
    <w:rsid w:val="30976DA2"/>
    <w:rsid w:val="3098299F"/>
    <w:rsid w:val="30D62DDA"/>
    <w:rsid w:val="315E3EB1"/>
    <w:rsid w:val="319934B1"/>
    <w:rsid w:val="32117518"/>
    <w:rsid w:val="32A40826"/>
    <w:rsid w:val="333E1F2C"/>
    <w:rsid w:val="33AC3EA2"/>
    <w:rsid w:val="33EF3A8A"/>
    <w:rsid w:val="34177D90"/>
    <w:rsid w:val="34502B78"/>
    <w:rsid w:val="34D058C0"/>
    <w:rsid w:val="358F4C83"/>
    <w:rsid w:val="35B4714A"/>
    <w:rsid w:val="35D62430"/>
    <w:rsid w:val="36202A8B"/>
    <w:rsid w:val="38255210"/>
    <w:rsid w:val="38286CC9"/>
    <w:rsid w:val="38296019"/>
    <w:rsid w:val="38874FCD"/>
    <w:rsid w:val="38A21BCA"/>
    <w:rsid w:val="399B6093"/>
    <w:rsid w:val="39CA71D3"/>
    <w:rsid w:val="39E9692C"/>
    <w:rsid w:val="3C041D7E"/>
    <w:rsid w:val="3C827701"/>
    <w:rsid w:val="3CEE333F"/>
    <w:rsid w:val="3D98229D"/>
    <w:rsid w:val="3DF53D49"/>
    <w:rsid w:val="3DFF4976"/>
    <w:rsid w:val="3EDD389A"/>
    <w:rsid w:val="408C5B31"/>
    <w:rsid w:val="442B4CA6"/>
    <w:rsid w:val="446A7138"/>
    <w:rsid w:val="45B756C2"/>
    <w:rsid w:val="47134419"/>
    <w:rsid w:val="48E41E27"/>
    <w:rsid w:val="493C0430"/>
    <w:rsid w:val="49991CBB"/>
    <w:rsid w:val="4A3459A1"/>
    <w:rsid w:val="4A88537A"/>
    <w:rsid w:val="4B003D55"/>
    <w:rsid w:val="4B2B3590"/>
    <w:rsid w:val="4C2724B2"/>
    <w:rsid w:val="4C4A7549"/>
    <w:rsid w:val="4C6C31D0"/>
    <w:rsid w:val="4C9C7914"/>
    <w:rsid w:val="4CC409B9"/>
    <w:rsid w:val="4DFA077B"/>
    <w:rsid w:val="4E1B06BB"/>
    <w:rsid w:val="4E7C796B"/>
    <w:rsid w:val="4FAB103A"/>
    <w:rsid w:val="51782041"/>
    <w:rsid w:val="51816D85"/>
    <w:rsid w:val="51FD0610"/>
    <w:rsid w:val="52617C8C"/>
    <w:rsid w:val="530E15DE"/>
    <w:rsid w:val="53380017"/>
    <w:rsid w:val="533D68E5"/>
    <w:rsid w:val="540839FD"/>
    <w:rsid w:val="542454C9"/>
    <w:rsid w:val="55827CD5"/>
    <w:rsid w:val="55CA6D3A"/>
    <w:rsid w:val="56B9243A"/>
    <w:rsid w:val="56E078B0"/>
    <w:rsid w:val="577F10CA"/>
    <w:rsid w:val="578F06BB"/>
    <w:rsid w:val="579F77F4"/>
    <w:rsid w:val="58D6288E"/>
    <w:rsid w:val="594F3B0C"/>
    <w:rsid w:val="5AC72C37"/>
    <w:rsid w:val="5B1E4F87"/>
    <w:rsid w:val="5CF43F2D"/>
    <w:rsid w:val="5D1B5374"/>
    <w:rsid w:val="5DA51471"/>
    <w:rsid w:val="5E3205AA"/>
    <w:rsid w:val="5E5A1480"/>
    <w:rsid w:val="5E630E0B"/>
    <w:rsid w:val="5E940365"/>
    <w:rsid w:val="60B92B6E"/>
    <w:rsid w:val="610A2A1F"/>
    <w:rsid w:val="61D80EC5"/>
    <w:rsid w:val="621F73AD"/>
    <w:rsid w:val="6375096E"/>
    <w:rsid w:val="63892EC6"/>
    <w:rsid w:val="63A250EB"/>
    <w:rsid w:val="64045BB5"/>
    <w:rsid w:val="66BF2FF9"/>
    <w:rsid w:val="681B32D5"/>
    <w:rsid w:val="68523905"/>
    <w:rsid w:val="697E5F4B"/>
    <w:rsid w:val="69AC0C58"/>
    <w:rsid w:val="6AF75CE4"/>
    <w:rsid w:val="6AFB19F8"/>
    <w:rsid w:val="6B52785D"/>
    <w:rsid w:val="6CA06729"/>
    <w:rsid w:val="6CEF158D"/>
    <w:rsid w:val="6DB1777F"/>
    <w:rsid w:val="6DE34AE4"/>
    <w:rsid w:val="6E3C219F"/>
    <w:rsid w:val="6E4152D7"/>
    <w:rsid w:val="6E953061"/>
    <w:rsid w:val="71F22B08"/>
    <w:rsid w:val="727E6E20"/>
    <w:rsid w:val="72E36382"/>
    <w:rsid w:val="733D60BC"/>
    <w:rsid w:val="7477213F"/>
    <w:rsid w:val="74A0273F"/>
    <w:rsid w:val="74BD341A"/>
    <w:rsid w:val="76FF686B"/>
    <w:rsid w:val="77E174F5"/>
    <w:rsid w:val="79ED0E5D"/>
    <w:rsid w:val="7AE377C7"/>
    <w:rsid w:val="7B0B2BDE"/>
    <w:rsid w:val="7BE6624C"/>
    <w:rsid w:val="7BF628C7"/>
    <w:rsid w:val="7C042B76"/>
    <w:rsid w:val="7C4F1F14"/>
    <w:rsid w:val="7E451830"/>
    <w:rsid w:val="7E7365A2"/>
    <w:rsid w:val="7F27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paragraph" w:styleId="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E_Virsta</cp:lastModifiedBy>
  <dcterms:modified xsi:type="dcterms:W3CDTF">2026-04-07T11:13:22Z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8632AD39FE9449BD8F94C96F62E4A7D3</vt:lpwstr>
  </property>
</Properties>
</file>