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19" w:type="pct"/>
        <w:tblLayout w:type="fixed"/>
        <w:tblLook w:val="04A0" w:firstRow="1" w:lastRow="0" w:firstColumn="1" w:lastColumn="0" w:noHBand="0" w:noVBand="1"/>
      </w:tblPr>
      <w:tblGrid>
        <w:gridCol w:w="2630"/>
        <w:gridCol w:w="1588"/>
        <w:gridCol w:w="1014"/>
        <w:gridCol w:w="918"/>
        <w:gridCol w:w="6184"/>
        <w:gridCol w:w="2564"/>
        <w:gridCol w:w="1118"/>
        <w:gridCol w:w="87"/>
      </w:tblGrid>
      <w:tr w:rsidR="00F66F42" w:rsidRPr="00F66F42" w:rsidTr="00E402F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b w:val="0"/>
                <w:lang w:val="it-IT"/>
              </w:rPr>
            </w:pPr>
            <w:r w:rsidRPr="00FB2377">
              <w:rPr>
                <w:b w:val="0"/>
                <w:noProof/>
              </w:rPr>
              <w:br w:type="page"/>
            </w:r>
            <w:r w:rsidRPr="00FB2377">
              <w:rPr>
                <w:b w:val="0"/>
                <w:noProof/>
              </w:rPr>
              <w:br w:type="page"/>
            </w:r>
            <w:r w:rsidRPr="00FB2377">
              <w:rPr>
                <w:b w:val="0"/>
                <w:noProof/>
              </w:rPr>
              <w:br w:type="page"/>
            </w:r>
            <w:r w:rsidRPr="00FB2377">
              <w:rPr>
                <w:b w:val="0"/>
                <w:noProof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B2377">
              <w:rPr>
                <w:b w:val="0"/>
                <w:noProof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B2377">
              <w:rPr>
                <w:b w:val="0"/>
                <w:lang w:val="it-IT"/>
              </w:rPr>
              <w:t>Anexa nr. 22</w:t>
            </w:r>
          </w:p>
          <w:p w:rsidR="00F66F42" w:rsidRPr="00FB2377" w:rsidRDefault="00F66F42" w:rsidP="00FB2377">
            <w:pPr>
              <w:pStyle w:val="4"/>
              <w:rPr>
                <w:b w:val="0"/>
                <w:lang w:val="it-IT"/>
              </w:rPr>
            </w:pPr>
            <w:r w:rsidRPr="00FB2377">
              <w:rPr>
                <w:b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FB2377">
              <w:rPr>
                <w:b w:val="0"/>
                <w:lang w:val="it-IT"/>
              </w:rPr>
              <w:t xml:space="preserve">                                       </w:t>
            </w:r>
            <w:r w:rsidRPr="00FB2377">
              <w:rPr>
                <w:b w:val="0"/>
                <w:lang w:val="it-IT"/>
              </w:rPr>
              <w:t xml:space="preserve"> la Documentația standard </w:t>
            </w:r>
          </w:p>
          <w:p w:rsidR="00F66F42" w:rsidRPr="00FB2377" w:rsidRDefault="00F66F42" w:rsidP="00FB2377">
            <w:pPr>
              <w:pStyle w:val="4"/>
              <w:rPr>
                <w:b w:val="0"/>
                <w:lang w:val="it-IT"/>
              </w:rPr>
            </w:pPr>
            <w:r w:rsidRPr="00FB2377">
              <w:rPr>
                <w:b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</w:p>
          <w:p w:rsidR="00F66F42" w:rsidRPr="00FB2377" w:rsidRDefault="00F66F42" w:rsidP="00FB2377">
            <w:pPr>
              <w:pStyle w:val="4"/>
              <w:rPr>
                <w:rFonts w:ascii="Calibri Light" w:hAnsi="Calibri Light"/>
                <w:b w:val="0"/>
                <w:noProof/>
                <w:color w:val="5B9BD5"/>
              </w:rPr>
            </w:pPr>
            <w:bookmarkStart w:id="3" w:name="_Hlk77771394"/>
            <w:r w:rsidRPr="00FB2377">
              <w:rPr>
                <w:rFonts w:ascii="Calibri Light" w:hAnsi="Calibri Light"/>
                <w:b w:val="0"/>
                <w:noProof/>
                <w:color w:val="5B9BD5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66F42" w:rsidRPr="00F66F42" w:rsidTr="00E402F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66F42" w:rsidRPr="00FB2377" w:rsidTr="00E402F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66F42" w:rsidRPr="00FB2377" w:rsidRDefault="00F66F42" w:rsidP="00FB2377">
                  <w:pPr>
                    <w:pStyle w:val="4"/>
                    <w:framePr w:hSpace="180" w:wrap="around" w:vAnchor="page" w:hAnchor="margin" w:y="347"/>
                    <w:rPr>
                      <w:b w:val="0"/>
                      <w:noProof/>
                      <w:szCs w:val="24"/>
                    </w:rPr>
                  </w:pPr>
                  <w:r w:rsidRPr="00FB2377">
                    <w:rPr>
                      <w:b w:val="0"/>
                      <w:i/>
                      <w:iCs/>
                      <w:noProof/>
                      <w:szCs w:val="24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66F42" w:rsidRPr="00FB2377" w:rsidRDefault="00F66F42" w:rsidP="00FB2377">
            <w:pPr>
              <w:pStyle w:val="4"/>
              <w:rPr>
                <w:b w:val="0"/>
                <w:noProof/>
              </w:rPr>
            </w:pPr>
          </w:p>
        </w:tc>
      </w:tr>
      <w:tr w:rsidR="00F66F42" w:rsidRPr="00F66F42" w:rsidTr="00E402F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>Numărul procedurii de achiziție______________din_________</w:t>
            </w:r>
          </w:p>
        </w:tc>
      </w:tr>
      <w:tr w:rsidR="00F66F42" w:rsidRPr="00F66F42" w:rsidTr="00E402F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>Obiectul achiziției:____________________</w:t>
            </w:r>
          </w:p>
        </w:tc>
      </w:tr>
      <w:tr w:rsidR="00E402F3" w:rsidRPr="00F66F42" w:rsidTr="00FB2377">
        <w:trPr>
          <w:gridAfter w:val="1"/>
          <w:wAfter w:w="27" w:type="pct"/>
          <w:trHeight w:val="524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 xml:space="preserve">Denumirea bunurilor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>Denumirea modelului bunului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>Ţara de origine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>Produ-cătorul</w:t>
            </w:r>
          </w:p>
        </w:tc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F42" w:rsidRPr="00FB2377" w:rsidRDefault="00F66F42" w:rsidP="00FB2377">
            <w:pPr>
              <w:pStyle w:val="4"/>
              <w:rPr>
                <w:noProof/>
                <w:sz w:val="22"/>
                <w:szCs w:val="22"/>
              </w:rPr>
            </w:pPr>
            <w:r w:rsidRPr="00FB2377">
              <w:rPr>
                <w:noProof/>
                <w:sz w:val="22"/>
                <w:szCs w:val="22"/>
              </w:rPr>
              <w:t>Standarde de referinţă</w:t>
            </w:r>
          </w:p>
        </w:tc>
      </w:tr>
      <w:tr w:rsidR="00E402F3" w:rsidRPr="00F66F42" w:rsidTr="00FB2377">
        <w:trPr>
          <w:gridAfter w:val="1"/>
          <w:wAfter w:w="27" w:type="pct"/>
          <w:trHeight w:val="283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b w:val="0"/>
                <w:noProof/>
              </w:rPr>
            </w:pPr>
            <w:r w:rsidRPr="00FB2377">
              <w:rPr>
                <w:b w:val="0"/>
                <w:noProof/>
              </w:rPr>
              <w:t>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b w:val="0"/>
                <w:noProof/>
              </w:rPr>
            </w:pPr>
            <w:r w:rsidRPr="00FB2377">
              <w:rPr>
                <w:b w:val="0"/>
                <w:noProof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b w:val="0"/>
                <w:noProof/>
              </w:rPr>
            </w:pPr>
            <w:r w:rsidRPr="00FB2377">
              <w:rPr>
                <w:b w:val="0"/>
                <w:noProof/>
              </w:rPr>
              <w:t>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b w:val="0"/>
                <w:noProof/>
              </w:rPr>
            </w:pPr>
            <w:r w:rsidRPr="00FB2377">
              <w:rPr>
                <w:b w:val="0"/>
                <w:noProof/>
              </w:rPr>
              <w:t>4</w:t>
            </w:r>
          </w:p>
        </w:tc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b w:val="0"/>
                <w:noProof/>
              </w:rPr>
            </w:pPr>
            <w:r w:rsidRPr="00FB2377">
              <w:rPr>
                <w:b w:val="0"/>
                <w:noProof/>
              </w:rPr>
              <w:t>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F42" w:rsidRPr="00FB2377" w:rsidRDefault="00F66F42" w:rsidP="00FB2377">
            <w:pPr>
              <w:pStyle w:val="4"/>
              <w:rPr>
                <w:b w:val="0"/>
                <w:noProof/>
              </w:rPr>
            </w:pPr>
            <w:r w:rsidRPr="00FB2377">
              <w:rPr>
                <w:b w:val="0"/>
                <w:noProof/>
              </w:rPr>
              <w:t>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F42" w:rsidRPr="00FB2377" w:rsidRDefault="00F66F42" w:rsidP="00FB2377">
            <w:pPr>
              <w:pStyle w:val="4"/>
              <w:rPr>
                <w:b w:val="0"/>
                <w:noProof/>
              </w:rPr>
            </w:pPr>
            <w:r w:rsidRPr="00FB2377">
              <w:rPr>
                <w:b w:val="0"/>
                <w:noProof/>
              </w:rPr>
              <w:t>7</w:t>
            </w:r>
          </w:p>
        </w:tc>
      </w:tr>
      <w:tr w:rsidR="00FB2377" w:rsidRPr="00F66F42" w:rsidTr="00FB2377">
        <w:trPr>
          <w:gridAfter w:val="1"/>
          <w:wAfter w:w="27" w:type="pct"/>
          <w:trHeight w:val="168"/>
        </w:trPr>
        <w:tc>
          <w:tcPr>
            <w:tcW w:w="81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1. Anticorpi conjugați cu flourocromi </w:t>
            </w:r>
            <w:r w:rsidRPr="00FB2377">
              <w:rPr>
                <w:rFonts w:ascii="Times New Roman" w:hAnsi="Times New Roman"/>
                <w:b w:val="0"/>
                <w:sz w:val="20"/>
              </w:rPr>
              <w:t>CD31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Anticorpi conjugați cu flourocromi (în dependent de studiu), flacon 10 ml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787DD2" w:rsidTr="00FB2377">
        <w:trPr>
          <w:gridAfter w:val="1"/>
          <w:wAfter w:w="27" w:type="pct"/>
          <w:trHeight w:val="184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2. Anticorpi conjugați cu flourocromi CD34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Anticorpi conjugați cu flourocromi (în dependent de studiu), flacon 10 ml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6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 xml:space="preserve">3. Anticorpi conjugați cu flourocromi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Anticorpi conjugați cu flourocromi (în dependent de studiu): DAPI, flacon 10 ml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B2377" w:rsidTr="00FB2377">
        <w:trPr>
          <w:gridAfter w:val="1"/>
          <w:wAfter w:w="27" w:type="pct"/>
          <w:trHeight w:val="71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 xml:space="preserve">4. Pulbere mediu de cultură DMEM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>Utilizare: Pregătirea hidrogelurilor din colagen, pentru cultura celulelor de mamifere Caracteristici: Pulbere pentru 10 Litri soluție DMEM, cu 1000 mg/Lde glucoză, cu L-glutamină, sodiu piruvat și fenol roșu, dar fără de bicarbonat și HEPES Împachetare: flacon sau pachet cu pulbere Livrare: conform recomandărilor producatorului Păstrare: la 4-8°C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5.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 xml:space="preserve">Soluție Heparină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Utilizare: Pentru prevenirea coagulării măduvei osoase colectate Caracteristici: Soluție Heparină cu o concentrație de 5000 U/ml Păstrare: 2-8°C. Împachetare: Flacon cu 5 ml reactiv. Livrare: Conform recomandărilor producătorului.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6. Extracția de AND și purificare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Utilizarea pentru materialul biologic de diferita origine, metoda de extractie manuala, Aplicatie: PCR, Cloning, Quantitative PCR în timp real (qPCR), S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equencing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Gene Nippon Genetics Cod:FG-70250, FastGene Blood &amp; Tissue gDNA Extraction KitKitul de extracție a gDNA pentru sânge și țesut FastGene purifică ADN-ul genomic din sângele mamiferelor, țesut și celule cultivate folosind un protocol de extracție simplu. ADN-ul izolat poate fi utilizat direct pentru o varietate de aplicații în aval, cum ar fi PCR, qPCR, Southern blot, reacții enzimatice si multe altele. Setul conține tampon de liză a sângelui și țesuturilor, tampon de spălare și eluție, Proteinase K, coloane de legare ADN FastGene și tuburi de colectare Set conține cel putin 250 de extractii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B2377" w:rsidTr="00FB2377">
        <w:trPr>
          <w:gridAfter w:val="1"/>
          <w:wAfter w:w="27" w:type="pct"/>
          <w:trHeight w:val="98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7.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 xml:space="preserve">Beta – caroten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>Destinație: substanță de referință pentru analiza cromatografică Puritatea: ≥98.0% Denumirea chimică: β-Caroten Formulă chimică: C40H56 Împachetarea: 1 ambalaj - 50 mg (pentru identificarea și dozarea compușilor chimici în speciile Galium verum și G. aparine)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118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lastRenderedPageBreak/>
              <w:t>8. Set perii de curățare a veselei de laborator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Set perii de curățare a veselei de laborator: Perii de spalat eprubete: 18-20 mm - 8-10 cm; Perii de spalat basele de laborator 25-30 mm -6-12 cm lunjumea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11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9.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Filament PLA culoare albă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Utilizare: Impri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mare 3D cu PLA  Caracteristici: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diametru filament 2,8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5 mm cu o toleranță de ± 0,03mm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bo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bină de 1 Kg, culoarea natural Împachetare: individual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Livrare și păstrare: conform recomandărilor producătorului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11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 xml:space="preserve">10. Recoltarea materialului biologic: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br/>
              <w:t>tuburi de recoltare in vid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Utilizarea: pentru recoltarea sîngelui venos intergal destinat i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nvestigării molecular- genetice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Caracteristici: eprubete vidate pentru recoltare sange, sterile din plastic care nu interactioneaza cu lichidele biologice, cu dop rosu cu clot a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ctivator (silica), volum 8.5 ml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Mater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ial: PET (polietilentereftalat)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Împachetare: set 100 bucăți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136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 xml:space="preserve">11. Recoltarea materialului biologic: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br/>
              <w:t>tuburi de recoltare in vid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Utilizarea: pentru recoltarea sîngelui venos intergal destinat i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nvestigării molecular- genetice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 xml:space="preserve">Caracteristici: eprubete vidate pentru recoltare sange, sterile din plastic care nu interactioneaza cu lichidele biologice, cu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</w:rPr>
              <w:t xml:space="preserve">dop verde cu EDTA, volum 8.5 ml 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Material: PET (polietilentereftalat)</w:t>
            </w: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br/>
              <w:t>Împachetare: set 100 bucăți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128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12. Fosfat de sodiu dibazic (Na2HPO4)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</w:pPr>
            <w:r w:rsidRPr="00FB2377">
              <w:rPr>
                <w:rFonts w:ascii="Times New Roman" w:hAnsi="Times New Roman"/>
                <w:b w:val="0"/>
                <w:color w:val="000000"/>
                <w:sz w:val="20"/>
                <w:lang w:val="en-US"/>
              </w:rPr>
              <w:t>Utilizare: mineralizarea colagenului.  Caracteristici: sub formă de praf Împachetare: 1 flacon de 1 kg Păstrare: temperatura camerei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</w:rPr>
              <w:t xml:space="preserve">13.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Pipete serologice 5 ml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Utilizare: lucru cu culturile celulare. Caracteristici: confectionat din plastic, cu barieră. Sterile apirogene, volum 5 ml. Împachetare: individuală Livrare și păstrare: conform recomndarilor producătorului.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14. Pipete serologice 10 ml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lucru cu culturile celulare. Caracteristici: confectionat din plastic, cu barieră. Sterile apirogene, volum 10 ml. Împachetare: individuală Livrare și păstrare: conform recomndarilor producătorului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15. Pahare de laborator de 4000 ml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Utilizare: lucrul cu un volum mare de lichide în timpul procesării probelor. Caracteristici: confectionat din sticlă rezistetă la temparaturi înalte sau borosilicat 3.3 cu volumul de 4000 ml. Împachetare: individual. Livrare și păstrare: conform recomndarilor producătorului.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126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16. Spirtieră din inox 100 ml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sterilizarea prin flambare a materialelor necesare penru culturi celulare. Caracteristici: confectionat din inox cu volumul de 100 ml. Împachetare: individual. Livrare și păstrare: conform recomndarilor producătorului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17. Nanoparticule de ZnO (zinc oxid) 5 gr.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pentru impregnarea biomaterialului Caracteristici: nanopulbere, dimensiunea particulei &lt;50 nm (BET), cu o concentrație a acestora &gt;97%. Masa moleculară = 81,39 g/mol, Împachetare: flacon a câte 5 grame. Livrare și păstrare: conform recomndarilor producătorului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18. Vancomicină 1000 mg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  <w:lang w:val="en-US"/>
              </w:rPr>
            </w:pPr>
            <w:r w:rsidRPr="00FB2377">
              <w:rPr>
                <w:rFonts w:ascii="Times New Roman" w:hAnsi="Times New Roman"/>
                <w:b w:val="0"/>
                <w:sz w:val="20"/>
              </w:rPr>
              <w:t xml:space="preserve">Utilizare: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pentru impregnarea biomaterialului Caracteristici: </w:t>
            </w:r>
          </w:p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  <w:lang w:val="en-US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antibiotic sub formă de pulbere, cu concentrația de 1000 mg per flacon. Împachetare: flacon cu 1000 mg pulbere.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Livrare și păstrare: conform recomndarilor producătorului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</w:rPr>
              <w:t xml:space="preserve">19.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2-Metoxietanol 1 Litru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Utilizare: degradarea enzimatică a materialului biologic obținut Caracteristici:  Lichid cu puritate ≥99.0%, conține 50 ppm BHT ca stabilizator. Formula: CH3OCH2CH2OH. Masa molară 76.09 g/mol. pH 5.0-7.0 la 25°C. Punctul de fierbere - 124-125°C. Punctul de topire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lastRenderedPageBreak/>
              <w:t>−85°C.  Împachetare: flacon cu 1 Litru soluție Livrare și păstrare: conform recomandărilor producătorului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168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</w:rPr>
              <w:t xml:space="preserve">20.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Soluție de Hoechst 33258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identificarea pupulării materialelor biologice cu celule prin microscopie fluorescent Caracteristici:  Puritatea ≥98.0% (HPLC). Forma lichidă, solubl în dimetilformamidă (DMF) și H2O. Lungimea de undă pentru excitare  - 355 nm și cea de emisie 465 nm. Împachetare: flacon cu soluție apoasă de 1 mg/ml. Păstrare: în frigider la 2-8°C; Livrare: conform recomndarilor producătorului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21. Mediu de cultură celulară DMEM/F12 Ham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  <w:lang w:val="en-US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Utilizare: culturi celulare. Pastrare la 2-8C. 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Caracteristici: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Cu L-glutamina, nivel crescut de glucoză, sodium piruvat si bicarbonat de sodiu, fara HEPES, lichid, filtrat steril, potrivit pentru cultura celulara de mamifere. Indicator de pH - fenol red.  Împachetare: flacon cu 500 ml mediu Păstrare: în frigider la 2-8°C; Livrare: la temperatura camerei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22. PBS cu Calciu și Magneziu 1 Litru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  <w:lang w:val="en-US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pregătirea probelor celularizate pentru microscopie fluorescentă sau SEM Caracteristici:  Soluție de bufer fosfat salin cu conținut de MgCl2 și CaCl2, fără fenol roșu. sterilizat prin filtrare. Împachetare: flacon cu 1000 ml soluție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Livrare și păstrare: la temperatura camerei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787DD2" w:rsidTr="00FB2377">
        <w:trPr>
          <w:gridAfter w:val="1"/>
          <w:wAfter w:w="27" w:type="pct"/>
          <w:trHeight w:val="51"/>
        </w:trPr>
        <w:tc>
          <w:tcPr>
            <w:tcW w:w="81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</w:rPr>
              <w:t>23. HBSS fără calciu, fără magneziu, cu fenol roșu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</w:rPr>
              <w:t>Utilizare: pregătirea soluțiilor enzimatice cu indicator de pH. Caracteristici: Soluție balansată fără calciu, fără magneziu, dar cu fenol roșu. pH de 7.2-7.6, sterilizat prin filtrare. Împachetare: flacon cu 500 ml soluție Livrare și păstrare: la temperatura camerei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</w:rPr>
              <w:t>24. PBS fără Calciu și Ma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gneziu 500 ml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  <w:lang w:val="en-US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spălarea probelor și celulelor de soluțiile de lucru și normalizarea pH-lui. Caracteristici: Soluție de bufer fosfat salin, fără fenol roșu, fără calciu și fără magneziu. sterilizat prin filtrare. Împachetare: flacon cu 500 ml soluție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Livrare și păstrare: la temperatura camerei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</w:t>
            </w:r>
            <w:r w:rsidRPr="00FB2377">
              <w:rPr>
                <w:rFonts w:ascii="Times New Roman" w:hAnsi="Times New Roman"/>
                <w:b w:val="0"/>
                <w:sz w:val="20"/>
              </w:rPr>
              <w:t>5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. Acetonă 1 Litru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  <w:lang w:val="en-US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pregătirea probelor celularizate pentru SEM. Caracteristici: Soluție cu puritatea de ≥ 99% Împachetare: flacon cu 1000 ml soluție Livrare și păstrare: conform recomandărilor producătorului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7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26. Set de purificare a ADN-ului din țesut congelat, set pentru cel puţin 250 teste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pentru extracția ADN-ului  Aplicație: PCR, Real-Time PCR cantitativ (qPCR), secvențiere, Southern Blotting, MLPA; Caracteristici: Setul destinat pentru izolarea ADN-ului din material biologic de diferită origine, inclusiv țesut congelat prin metoda de extracție manuală, bazată pe tehnologia de ”silica membrana”. Puritatea extractului ADN: A260/A280 ratio &gt;1,9. Condiții de păstrare: temperatura camerei. ISO 9001/14001 Ambalaj: Set include reagenți pentru cel puțin 250 teste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50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27. Mănuși din nitril, nesterile, N100, mănuși fără pudra, calitatea superioara (marimea M)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protecția în timpul procedurelor invazive și prelucrarea materalului biologic. Caracteristici: mănuși din nitril, nesterile, mănuși fără pudra, calitatea superioara, mărimea M Ambalaj: cutie cu marca CE, set conține cel puțin 100 bucăți, (cantitatea - cutie) Livrare: conform recomandării producatorului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28. Cutii/casete de depozitare a criotuburilor de 2 ml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Utilizare: pentru pastrarea probelor biologice. Caracteristici: rezistente la atmosfera vaporilor de azot, compatibile cu criotuburi de 1,8-2 ml. Material: Policarbonat, rezistent, concepute p/u a fi utilizate la temperaturi cuprinse între –190 ºC și 121 ºC, autoclavabile.  Pot fi scufundate în azot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lastRenderedPageBreak/>
              <w:t>lichid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Formă: Pătrat Tip: Cutie criogena Tube Array: 10 x 10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Dimensiuni (L x l x H) 5,25 x 5,25 x 2,13 inchi (132 x 132 x 52 mm) Livrare: conform recomandării producatorului.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29. Cutie de depozitare pentru tuburi PCR de 0,2 ml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pentru pastrarea probelor biologice. Caracteristici: rezistente la temperaturi scăzute, compatibile cu tuburile PCR de 0,2 ml. Material: fabricat din polipropilenă, rezistent, concepute p/u a fi utilizate la temperaturi cuprinse între –190 ºC și 121 ºC, autoclavab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ile.  Pot fi scufundate în azot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lichid. Formă: Pătrat Tip: Cutie criogena Tube Array: 12 x 12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Dimensiuni exterioare: 130 x 130 mm pătrat, înălțime fixă: 40 mm Livrare: conform recomandării producatorului.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30. Micropipetă manuală cu un singur canal, volum reglabil 0,1 - 10 µl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 pentru transferul materialului biologic. Caracteristici: volumul 0,1 - 10 µl, autoclavabile Împachetare: individuală. Livrare: conform recomandării producatorului.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31. Micropipetă manuală cu un singur canal, volum reglabil, 20 până la 200 µl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 pentru transferul materialului biologic. Caracteristici: volumul 20 - 200 µl, autoclavabile Împachetare: individuală. Livrare: conform recomandării producatorului.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32. Micropipetă manuală cu un singur canal, volum reglabil, 100-1000 µl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 pentru transferul materialului biologic. Caracteristici: v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olumul 10-1000 µl,autoclavabile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Împachetare: individuală. Livrare: conform recomandării producatorului.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33. Vîrfuri sterile cu filtru pentru pipete dozatoare, volum 0,1-10 µl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Utilizare: pentru transferul materialului biologic. Caracteristici: Vîrfuri sterile cu filtru din propilenă de înaltă calitate, non-pyrogenic, not-extended, cu o potrivire universală, compatibile cu o gamă largă de pipete dozatoare. Volum de 0,1-10 µl, marca CE, libere de ADN uman, DNase, RNase și inhibitori ai amplificării Ambalaj: set include cel puţin 10 cutii sterile de 96 buc (96 pcs./Rack)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34. Vîrfuri sterile cu filtru pentru pipete dozatoare, volum 20 µl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pentru tra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nsferul materialului biologic.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Caracteristici: Vîrfuri sterile cu filtru din propilenă de înaltă calitate, non-pyrogenic, cu o potrivire universală, compatibile cu o gamă largă de pipete dozatoare. Volum de 20 µl, marca CE, libere de ADN uman, DNase, RNase și inhibitori ai amplificării Ambalaj: 1 cutie sterilă de 96 buc (96 pcs./Rack)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35. Vîrfuri sterile cu filtru pentru pipete dozatoare, volum 1-200 µl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pentru tra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nsferul materialului biologic.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Caracteristici: Vîrfuri sterile cu filtru din propilenă de înaltă calitate, non-pyrogenic, cu o potrivire universală, compatibile cu o gamă largă de pipete dozatoare. Volum 1-200 µl, marca CE, libere de ADN uman, DNase, RNase și inhibitori ai amplificării Ambalaj: set include cel puţin 10 cutii sterile de 96 buc (96 pcs./Rack)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36. Vîrfuri sterile cu filtru pentru pipete dozatoare, volum 100-1000 µl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pentru tra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nsferul materialului biologic.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Caracteristici: Set de vîrfuri sterile cu filtru pentru pipete dozatoare (compatibile cu setul de pipete dozatoare cu suport) volum sau 100-1000 µl, marca CE, libere de ADN uman, DNase, RNase și inhibitori ai amplificării Ambalaj: set include cel puţin 10 cutii de 96 buc (96 pcs./Rack)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37. Soluție de alcool etilic (96-100%)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Utilizare: pentru biologie moleculară, Caracteristici: Soluție de alcool etilic (96-100%) de calitate înaltă, nu conține resturi de metanol, marca CE, (cantitatea, litri)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lastRenderedPageBreak/>
              <w:t xml:space="preserve">38. Apă oxigenată de 10%,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de calitate înaltă, certificat CE, (cantitatea, litri)Utilizare: dezinfectarea suprafetelor de lucru Caracteristici: Concetratia procentuală de 10%, formula moleculara H2O2, masa moleculara 34,0147 g/mol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</w:rPr>
              <w:t>39. Apă distilată ultrapură fără DNază/RNază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Utilizare: pentru biologie moleculara.pH: 6 la 8 Depozitare recomandată: Poate fi 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păstrat la temperatura camerei.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Caracteristici: Filtrată cu membrană de 0,1 </w:t>
            </w:r>
            <w:r w:rsidRPr="00FB2377">
              <w:rPr>
                <w:rFonts w:ascii="Times New Roman" w:hAnsi="Times New Roman"/>
                <w:b w:val="0"/>
                <w:sz w:val="20"/>
              </w:rPr>
              <w:t>μ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m și testată pentru activitatea DNază și RNază. Ambalare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: Sticla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Tratament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(e): Nu este tratat cu DEPC Cantitate: 500 ml Metoda de purificare: Filtrată cu membrane Condiț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ie de livrare: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Temperatura camerei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FB2377" w:rsidRPr="00F66F42" w:rsidTr="00FB2377">
        <w:trPr>
          <w:gridAfter w:val="1"/>
          <w:wAfter w:w="27" w:type="pct"/>
          <w:trHeight w:val="67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40. Agent de curăţare pe bază de D-limonenă &gt;98,5%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000000" w:themeColor="text1"/>
              <w:left w:val="single" w:sz="8" w:space="0" w:color="auto"/>
              <w:bottom w:val="single" w:sz="4" w:space="0" w:color="000000" w:themeColor="text1"/>
              <w:right w:val="single" w:sz="8" w:space="0" w:color="auto"/>
            </w:tcBorders>
            <w:shd w:val="clear" w:color="auto" w:fill="FFFFFF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rFonts w:ascii="Times New Roman" w:hAnsi="Times New Roman"/>
                <w:b w:val="0"/>
                <w:sz w:val="20"/>
              </w:rPr>
            </w:pP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 xml:space="preserve">Utilizare: pentru deparafinizarea țesuturilor  Caracteristici: Nivelul de concentrare &gt;98,5% Tip: Pe bază de </w:t>
            </w:r>
            <w:r w:rsidRPr="00FB2377">
              <w:rPr>
                <w:rFonts w:ascii="Times New Roman" w:hAnsi="Times New Roman"/>
                <w:b w:val="0"/>
                <w:sz w:val="20"/>
              </w:rPr>
              <w:t xml:space="preserve">D-Limonen </w:t>
            </w:r>
            <w:r w:rsidRPr="00FB2377">
              <w:rPr>
                <w:rFonts w:ascii="Times New Roman" w:hAnsi="Times New Roman"/>
                <w:b w:val="0"/>
                <w:sz w:val="20"/>
                <w:lang w:val="en-US"/>
              </w:rPr>
              <w:t>Formă: Lichid Ambalare: Sticlă Cantitate: 500 ml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2377" w:rsidRPr="00FB2377" w:rsidRDefault="00FB2377" w:rsidP="00FB2377">
            <w:pPr>
              <w:pStyle w:val="4"/>
              <w:rPr>
                <w:b w:val="0"/>
                <w:noProof/>
              </w:rPr>
            </w:pPr>
          </w:p>
        </w:tc>
      </w:tr>
      <w:tr w:rsidR="008966B2" w:rsidRPr="00F66F42" w:rsidTr="00FB2377">
        <w:trPr>
          <w:gridAfter w:val="1"/>
          <w:wAfter w:w="27" w:type="pct"/>
          <w:trHeight w:val="397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6B2" w:rsidRPr="00FB2377" w:rsidRDefault="008966B2" w:rsidP="00FB2377">
            <w:pPr>
              <w:pStyle w:val="4"/>
              <w:rPr>
                <w:rFonts w:ascii="Times New Roman" w:hAnsi="Times New Roman"/>
                <w:noProof/>
                <w:sz w:val="20"/>
              </w:rPr>
            </w:pPr>
            <w:bookmarkStart w:id="4" w:name="_GoBack"/>
            <w:r w:rsidRPr="00FB2377">
              <w:rPr>
                <w:rFonts w:ascii="Times New Roman" w:hAnsi="Times New Roman"/>
                <w:noProof/>
                <w:sz w:val="20"/>
              </w:rPr>
              <w:t>TOTAL</w:t>
            </w:r>
            <w:bookmarkEnd w:id="4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6B2" w:rsidRPr="00FB2377" w:rsidRDefault="008966B2" w:rsidP="00FB2377">
            <w:pPr>
              <w:pStyle w:val="4"/>
              <w:rPr>
                <w:rFonts w:ascii="Times New Roman" w:hAnsi="Times New Roman"/>
                <w:b w:val="0"/>
                <w:noProof/>
                <w:sz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6B2" w:rsidRPr="00FB2377" w:rsidRDefault="008966B2" w:rsidP="00FB2377">
            <w:pPr>
              <w:pStyle w:val="4"/>
              <w:rPr>
                <w:rFonts w:ascii="Times New Roman" w:hAnsi="Times New Roman"/>
                <w:b w:val="0"/>
                <w:noProof/>
                <w:sz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6B2" w:rsidRPr="00FB2377" w:rsidRDefault="008966B2" w:rsidP="00FB2377">
            <w:pPr>
              <w:pStyle w:val="4"/>
              <w:rPr>
                <w:rFonts w:ascii="Times New Roman" w:hAnsi="Times New Roman"/>
                <w:b w:val="0"/>
                <w:noProof/>
                <w:sz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6B2" w:rsidRPr="00FB2377" w:rsidRDefault="008966B2" w:rsidP="00FB2377">
            <w:pPr>
              <w:pStyle w:val="4"/>
              <w:rPr>
                <w:rFonts w:ascii="Times New Roman" w:hAnsi="Times New Roman"/>
                <w:b w:val="0"/>
                <w:noProof/>
                <w:sz w:val="20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6B2" w:rsidRPr="00FB2377" w:rsidRDefault="008966B2" w:rsidP="00FB2377">
            <w:pPr>
              <w:pStyle w:val="4"/>
              <w:rPr>
                <w:b w:val="0"/>
                <w:noProof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6B2" w:rsidRPr="00FB2377" w:rsidRDefault="008966B2" w:rsidP="00FB2377">
            <w:pPr>
              <w:pStyle w:val="4"/>
              <w:rPr>
                <w:b w:val="0"/>
                <w:noProof/>
              </w:rPr>
            </w:pPr>
          </w:p>
        </w:tc>
      </w:tr>
    </w:tbl>
    <w:p w:rsidR="00983D53" w:rsidRPr="00665C6D" w:rsidRDefault="00983D53" w:rsidP="007A472D">
      <w:pPr>
        <w:spacing w:line="276" w:lineRule="auto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983D53" w:rsidRPr="00665C6D" w:rsidSect="00665C6D">
      <w:pgSz w:w="16839" w:h="11907" w:orient="landscape" w:code="9"/>
      <w:pgMar w:top="426" w:right="1134" w:bottom="851" w:left="568" w:header="567" w:footer="720" w:gutter="0"/>
      <w:cols w:space="720"/>
      <w:titlePg/>
      <w:docGrid w:linePitch="54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940" w:rsidRDefault="006A2940" w:rsidP="00816121">
      <w:pPr>
        <w:spacing w:line="240" w:lineRule="auto"/>
      </w:pPr>
      <w:r>
        <w:separator/>
      </w:r>
    </w:p>
  </w:endnote>
  <w:endnote w:type="continuationSeparator" w:id="0">
    <w:p w:rsidR="006A2940" w:rsidRDefault="006A2940" w:rsidP="00816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940" w:rsidRDefault="006A2940" w:rsidP="00816121">
      <w:pPr>
        <w:spacing w:line="240" w:lineRule="auto"/>
      </w:pPr>
      <w:r>
        <w:separator/>
      </w:r>
    </w:p>
  </w:footnote>
  <w:footnote w:type="continuationSeparator" w:id="0">
    <w:p w:rsidR="006A2940" w:rsidRDefault="006A2940" w:rsidP="008161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1A5082"/>
    <w:multiLevelType w:val="hybridMultilevel"/>
    <w:tmpl w:val="B38EF10A"/>
    <w:lvl w:ilvl="0" w:tplc="2C10A796">
      <w:start w:val="7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32"/>
  </w:num>
  <w:num w:numId="3">
    <w:abstractNumId w:val="37"/>
  </w:num>
  <w:num w:numId="4">
    <w:abstractNumId w:val="7"/>
  </w:num>
  <w:num w:numId="5">
    <w:abstractNumId w:val="11"/>
  </w:num>
  <w:num w:numId="6">
    <w:abstractNumId w:val="8"/>
  </w:num>
  <w:num w:numId="7">
    <w:abstractNumId w:val="34"/>
  </w:num>
  <w:num w:numId="8">
    <w:abstractNumId w:val="3"/>
  </w:num>
  <w:num w:numId="9">
    <w:abstractNumId w:val="36"/>
  </w:num>
  <w:num w:numId="10">
    <w:abstractNumId w:val="30"/>
  </w:num>
  <w:num w:numId="11">
    <w:abstractNumId w:val="4"/>
  </w:num>
  <w:num w:numId="12">
    <w:abstractNumId w:val="13"/>
  </w:num>
  <w:num w:numId="13">
    <w:abstractNumId w:val="22"/>
  </w:num>
  <w:num w:numId="14">
    <w:abstractNumId w:val="17"/>
  </w:num>
  <w:num w:numId="15">
    <w:abstractNumId w:val="35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24"/>
  </w:num>
  <w:num w:numId="21">
    <w:abstractNumId w:val="14"/>
  </w:num>
  <w:num w:numId="22">
    <w:abstractNumId w:val="31"/>
  </w:num>
  <w:num w:numId="23">
    <w:abstractNumId w:val="27"/>
  </w:num>
  <w:num w:numId="24">
    <w:abstractNumId w:val="29"/>
  </w:num>
  <w:num w:numId="25">
    <w:abstractNumId w:val="0"/>
  </w:num>
  <w:num w:numId="26">
    <w:abstractNumId w:val="19"/>
  </w:num>
  <w:num w:numId="27">
    <w:abstractNumId w:val="28"/>
  </w:num>
  <w:num w:numId="28">
    <w:abstractNumId w:val="32"/>
    <w:lvlOverride w:ilvl="0">
      <w:startOverride w:val="1"/>
    </w:lvlOverride>
  </w:num>
  <w:num w:numId="29">
    <w:abstractNumId w:val="21"/>
  </w:num>
  <w:num w:numId="30">
    <w:abstractNumId w:val="33"/>
  </w:num>
  <w:num w:numId="31">
    <w:abstractNumId w:val="26"/>
  </w:num>
  <w:num w:numId="32">
    <w:abstractNumId w:val="32"/>
    <w:lvlOverride w:ilvl="0">
      <w:startOverride w:val="2"/>
    </w:lvlOverride>
  </w:num>
  <w:num w:numId="33">
    <w:abstractNumId w:val="37"/>
    <w:lvlOverride w:ilvl="0">
      <w:startOverride w:val="7"/>
    </w:lvlOverride>
  </w:num>
  <w:num w:numId="34">
    <w:abstractNumId w:val="15"/>
  </w:num>
  <w:num w:numId="35">
    <w:abstractNumId w:val="12"/>
  </w:num>
  <w:num w:numId="36">
    <w:abstractNumId w:val="18"/>
  </w:num>
  <w:num w:numId="37">
    <w:abstractNumId w:val="9"/>
  </w:num>
  <w:num w:numId="38">
    <w:abstractNumId w:val="6"/>
  </w:num>
  <w:num w:numId="39">
    <w:abstractNumId w:val="20"/>
  </w:num>
  <w:num w:numId="40">
    <w:abstractNumId w:val="23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037"/>
    <w:rsid w:val="000102F9"/>
    <w:rsid w:val="00024037"/>
    <w:rsid w:val="00091E26"/>
    <w:rsid w:val="00095236"/>
    <w:rsid w:val="0012165C"/>
    <w:rsid w:val="00146344"/>
    <w:rsid w:val="00160026"/>
    <w:rsid w:val="0018445E"/>
    <w:rsid w:val="001A36CB"/>
    <w:rsid w:val="001B4895"/>
    <w:rsid w:val="001B6FA9"/>
    <w:rsid w:val="001D524C"/>
    <w:rsid w:val="002052FD"/>
    <w:rsid w:val="002461B0"/>
    <w:rsid w:val="00271BAF"/>
    <w:rsid w:val="00290F63"/>
    <w:rsid w:val="00292618"/>
    <w:rsid w:val="002932D3"/>
    <w:rsid w:val="002932F4"/>
    <w:rsid w:val="002C6612"/>
    <w:rsid w:val="002D6E42"/>
    <w:rsid w:val="002E4EE9"/>
    <w:rsid w:val="00311CFA"/>
    <w:rsid w:val="00317B54"/>
    <w:rsid w:val="00336035"/>
    <w:rsid w:val="00352662"/>
    <w:rsid w:val="00353596"/>
    <w:rsid w:val="003A50E8"/>
    <w:rsid w:val="003B0871"/>
    <w:rsid w:val="003C39C3"/>
    <w:rsid w:val="003D62CD"/>
    <w:rsid w:val="003E59DB"/>
    <w:rsid w:val="003E5CE3"/>
    <w:rsid w:val="00415E1E"/>
    <w:rsid w:val="004331F6"/>
    <w:rsid w:val="00475436"/>
    <w:rsid w:val="00476DDB"/>
    <w:rsid w:val="00487E14"/>
    <w:rsid w:val="004F04EB"/>
    <w:rsid w:val="00521545"/>
    <w:rsid w:val="00570B34"/>
    <w:rsid w:val="00590906"/>
    <w:rsid w:val="005A517E"/>
    <w:rsid w:val="005B275D"/>
    <w:rsid w:val="005C16F2"/>
    <w:rsid w:val="005E25D0"/>
    <w:rsid w:val="006008D1"/>
    <w:rsid w:val="00643FD1"/>
    <w:rsid w:val="00665C6D"/>
    <w:rsid w:val="00666E7B"/>
    <w:rsid w:val="006A2940"/>
    <w:rsid w:val="006B136A"/>
    <w:rsid w:val="006F3AA1"/>
    <w:rsid w:val="00787DD2"/>
    <w:rsid w:val="00791286"/>
    <w:rsid w:val="007A472D"/>
    <w:rsid w:val="007B2A1A"/>
    <w:rsid w:val="007D5ACD"/>
    <w:rsid w:val="00816121"/>
    <w:rsid w:val="00843916"/>
    <w:rsid w:val="0088734F"/>
    <w:rsid w:val="00895E17"/>
    <w:rsid w:val="008966B2"/>
    <w:rsid w:val="008B750B"/>
    <w:rsid w:val="00932C62"/>
    <w:rsid w:val="0093668D"/>
    <w:rsid w:val="00983D53"/>
    <w:rsid w:val="009F22FB"/>
    <w:rsid w:val="009F5CCB"/>
    <w:rsid w:val="00A00051"/>
    <w:rsid w:val="00A1126F"/>
    <w:rsid w:val="00A22B2B"/>
    <w:rsid w:val="00A52D37"/>
    <w:rsid w:val="00A75352"/>
    <w:rsid w:val="00A80928"/>
    <w:rsid w:val="00A90FD0"/>
    <w:rsid w:val="00AA0984"/>
    <w:rsid w:val="00AE0938"/>
    <w:rsid w:val="00AF333D"/>
    <w:rsid w:val="00AF5C43"/>
    <w:rsid w:val="00B432AB"/>
    <w:rsid w:val="00B45BEF"/>
    <w:rsid w:val="00B61C1A"/>
    <w:rsid w:val="00B81B4D"/>
    <w:rsid w:val="00B924DD"/>
    <w:rsid w:val="00C06E93"/>
    <w:rsid w:val="00C1531C"/>
    <w:rsid w:val="00C41637"/>
    <w:rsid w:val="00C4742C"/>
    <w:rsid w:val="00C768F7"/>
    <w:rsid w:val="00C83626"/>
    <w:rsid w:val="00CF7AA2"/>
    <w:rsid w:val="00D057A7"/>
    <w:rsid w:val="00D07F32"/>
    <w:rsid w:val="00D14AA5"/>
    <w:rsid w:val="00D20348"/>
    <w:rsid w:val="00D31EC1"/>
    <w:rsid w:val="00D33708"/>
    <w:rsid w:val="00D43DE2"/>
    <w:rsid w:val="00D52B0F"/>
    <w:rsid w:val="00D73A90"/>
    <w:rsid w:val="00D8063E"/>
    <w:rsid w:val="00D8632D"/>
    <w:rsid w:val="00DA63DB"/>
    <w:rsid w:val="00DE52DE"/>
    <w:rsid w:val="00DF6271"/>
    <w:rsid w:val="00E34992"/>
    <w:rsid w:val="00E36E51"/>
    <w:rsid w:val="00E402F3"/>
    <w:rsid w:val="00EA4D40"/>
    <w:rsid w:val="00F075B1"/>
    <w:rsid w:val="00F619FD"/>
    <w:rsid w:val="00F66F42"/>
    <w:rsid w:val="00FB2377"/>
    <w:rsid w:val="00FD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ED6FEB-398D-43C6-AE54-B850BBC0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Theme="minorHAnsi" w:hAnsi="Georgia" w:cs="Times New Roman"/>
        <w:b/>
        <w:shadow/>
        <w:color w:val="FFFFFF" w:themeColor="background1"/>
        <w:sz w:val="40"/>
        <w:szCs w:val="40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ACD"/>
    <w:pPr>
      <w:spacing w:after="0" w:line="260" w:lineRule="exact"/>
      <w:jc w:val="both"/>
    </w:pPr>
    <w:rPr>
      <w:b w:val="0"/>
      <w:color w:val="000000" w:themeColor="text1"/>
      <w:sz w:val="22"/>
    </w:rPr>
  </w:style>
  <w:style w:type="paragraph" w:styleId="1">
    <w:name w:val="heading 1"/>
    <w:aliases w:val="Subtitle"/>
    <w:basedOn w:val="a"/>
    <w:next w:val="a"/>
    <w:link w:val="10"/>
    <w:qFormat/>
    <w:rsid w:val="007D5ACD"/>
    <w:pPr>
      <w:keepNext/>
      <w:keepLines/>
      <w:spacing w:after="480" w:line="300" w:lineRule="exact"/>
      <w:contextualSpacing/>
      <w:jc w:val="center"/>
      <w:outlineLvl w:val="0"/>
    </w:pPr>
    <w:rPr>
      <w:rFonts w:asciiTheme="majorHAnsi" w:eastAsiaTheme="majorEastAsia" w:hAnsiTheme="majorHAnsi" w:cstheme="majorBidi"/>
      <w:bCs/>
      <w:color w:val="2D2E83"/>
      <w:sz w:val="28"/>
      <w:szCs w:val="28"/>
      <w:lang w:val="ro-RO"/>
    </w:rPr>
  </w:style>
  <w:style w:type="paragraph" w:styleId="2">
    <w:name w:val="heading 2"/>
    <w:basedOn w:val="a"/>
    <w:next w:val="a"/>
    <w:link w:val="20"/>
    <w:unhideWhenUsed/>
    <w:qFormat/>
    <w:rsid w:val="00F66F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66F42"/>
    <w:pPr>
      <w:keepNext/>
      <w:keepLines/>
      <w:spacing w:before="40"/>
      <w:outlineLvl w:val="2"/>
    </w:pPr>
    <w:rPr>
      <w:rFonts w:ascii="Calibri Light" w:eastAsia="Times New Roman" w:hAnsi="Calibri Light"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F66F42"/>
    <w:pPr>
      <w:keepNext/>
      <w:spacing w:line="240" w:lineRule="auto"/>
      <w:jc w:val="left"/>
      <w:outlineLvl w:val="3"/>
    </w:pPr>
    <w:rPr>
      <w:rFonts w:ascii="Baltica RR" w:eastAsia="Times New Roman" w:hAnsi="Baltica RR"/>
      <w:b/>
      <w:bCs/>
      <w:shadow w:val="0"/>
      <w:color w:val="auto"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rsid w:val="00F66F42"/>
    <w:pPr>
      <w:keepNext/>
      <w:spacing w:line="240" w:lineRule="auto"/>
      <w:ind w:firstLine="6804"/>
      <w:jc w:val="left"/>
      <w:outlineLvl w:val="4"/>
    </w:pPr>
    <w:rPr>
      <w:rFonts w:ascii="Times New Roman" w:eastAsia="Times New Roman" w:hAnsi="Times New Roman"/>
      <w:bCs/>
      <w:shadow w:val="0"/>
      <w:color w:val="auto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66F42"/>
    <w:pPr>
      <w:spacing w:before="240" w:after="60" w:line="240" w:lineRule="auto"/>
      <w:jc w:val="left"/>
      <w:outlineLvl w:val="7"/>
    </w:pPr>
    <w:rPr>
      <w:rFonts w:ascii="Calibri" w:eastAsia="Times New Roman" w:hAnsi="Calibri"/>
      <w:bCs/>
      <w:i/>
      <w:iCs/>
      <w:shadow w:val="0"/>
      <w:color w:val="auto"/>
      <w:sz w:val="24"/>
      <w:szCs w:val="24"/>
      <w:lang w:val="ro-RO"/>
    </w:rPr>
  </w:style>
  <w:style w:type="paragraph" w:styleId="9">
    <w:name w:val="heading 9"/>
    <w:basedOn w:val="a"/>
    <w:next w:val="a"/>
    <w:link w:val="90"/>
    <w:semiHidden/>
    <w:unhideWhenUsed/>
    <w:qFormat/>
    <w:rsid w:val="00F66F42"/>
    <w:pPr>
      <w:spacing w:before="240" w:after="60" w:line="240" w:lineRule="auto"/>
      <w:jc w:val="left"/>
      <w:outlineLvl w:val="8"/>
    </w:pPr>
    <w:rPr>
      <w:rFonts w:ascii="Cambria" w:eastAsia="Times New Roman" w:hAnsi="Cambria"/>
      <w:bCs/>
      <w:shadow w:val="0"/>
      <w:color w:val="auto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0240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024037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nhideWhenUsed/>
    <w:qFormat/>
    <w:rsid w:val="00290F6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header"/>
    <w:basedOn w:val="a"/>
    <w:link w:val="a7"/>
    <w:unhideWhenUsed/>
    <w:rsid w:val="00816121"/>
    <w:pPr>
      <w:tabs>
        <w:tab w:val="center" w:pos="4844"/>
        <w:tab w:val="right" w:pos="9689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rsid w:val="00816121"/>
  </w:style>
  <w:style w:type="paragraph" w:styleId="a8">
    <w:name w:val="footer"/>
    <w:basedOn w:val="a"/>
    <w:link w:val="a9"/>
    <w:uiPriority w:val="99"/>
    <w:unhideWhenUsed/>
    <w:rsid w:val="00816121"/>
    <w:pPr>
      <w:tabs>
        <w:tab w:val="center" w:pos="4844"/>
        <w:tab w:val="right" w:pos="9689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16121"/>
  </w:style>
  <w:style w:type="paragraph" w:styleId="aa">
    <w:name w:val="Subtitle"/>
    <w:aliases w:val="Subtitle_Adresa_Contacte"/>
    <w:next w:val="a"/>
    <w:link w:val="ab"/>
    <w:qFormat/>
    <w:rsid w:val="00C41637"/>
    <w:pPr>
      <w:numPr>
        <w:ilvl w:val="1"/>
      </w:numPr>
      <w:spacing w:after="0" w:line="220" w:lineRule="exact"/>
      <w:contextualSpacing/>
      <w:jc w:val="center"/>
    </w:pPr>
    <w:rPr>
      <w:rFonts w:ascii="Cambria" w:eastAsiaTheme="majorEastAsia" w:hAnsi="Cambria" w:cstheme="majorBidi"/>
      <w:iCs/>
      <w:color w:val="2D2E83"/>
      <w:w w:val="88"/>
      <w:sz w:val="16"/>
      <w:szCs w:val="24"/>
      <w:lang w:val="ro-RO"/>
    </w:rPr>
  </w:style>
  <w:style w:type="character" w:customStyle="1" w:styleId="ab">
    <w:name w:val="Подзаголовок Знак"/>
    <w:aliases w:val="Subtitle_Adresa_Contacte Знак"/>
    <w:basedOn w:val="a0"/>
    <w:link w:val="aa"/>
    <w:rsid w:val="00C41637"/>
    <w:rPr>
      <w:rFonts w:ascii="Cambria" w:eastAsiaTheme="majorEastAsia" w:hAnsi="Cambria" w:cstheme="majorBidi"/>
      <w:iCs/>
      <w:color w:val="2D2E83"/>
      <w:w w:val="88"/>
      <w:sz w:val="16"/>
      <w:szCs w:val="24"/>
      <w:lang w:val="ro-RO"/>
    </w:rPr>
  </w:style>
  <w:style w:type="character" w:customStyle="1" w:styleId="10">
    <w:name w:val="Заголовок 1 Знак"/>
    <w:aliases w:val="Subtitle Знак"/>
    <w:basedOn w:val="a0"/>
    <w:link w:val="1"/>
    <w:rsid w:val="007D5ACD"/>
    <w:rPr>
      <w:rFonts w:asciiTheme="majorHAnsi" w:eastAsiaTheme="majorEastAsia" w:hAnsiTheme="majorHAnsi" w:cstheme="majorBidi"/>
      <w:bCs/>
      <w:color w:val="2D2E83"/>
      <w:sz w:val="28"/>
      <w:szCs w:val="28"/>
      <w:lang w:val="ro-RO"/>
    </w:rPr>
  </w:style>
  <w:style w:type="paragraph" w:styleId="ac">
    <w:name w:val="Title"/>
    <w:aliases w:val="Titlul"/>
    <w:next w:val="a"/>
    <w:link w:val="ad"/>
    <w:uiPriority w:val="10"/>
    <w:qFormat/>
    <w:rsid w:val="007D5ACD"/>
    <w:pPr>
      <w:widowControl w:val="0"/>
      <w:spacing w:after="300" w:line="540" w:lineRule="exact"/>
      <w:jc w:val="center"/>
    </w:pPr>
    <w:rPr>
      <w:rFonts w:asciiTheme="majorHAnsi" w:eastAsiaTheme="majorEastAsia" w:hAnsiTheme="majorHAnsi" w:cstheme="majorBidi"/>
      <w:b w:val="0"/>
      <w:caps/>
      <w:color w:val="2D2E83"/>
      <w:spacing w:val="5"/>
      <w:kern w:val="28"/>
      <w:sz w:val="52"/>
      <w:szCs w:val="52"/>
      <w:lang w:val="ro-RO"/>
    </w:rPr>
  </w:style>
  <w:style w:type="character" w:customStyle="1" w:styleId="ad">
    <w:name w:val="Название Знак"/>
    <w:aliases w:val="Titlul Знак"/>
    <w:basedOn w:val="a0"/>
    <w:link w:val="ac"/>
    <w:uiPriority w:val="10"/>
    <w:rsid w:val="007D5ACD"/>
    <w:rPr>
      <w:rFonts w:asciiTheme="majorHAnsi" w:eastAsiaTheme="majorEastAsia" w:hAnsiTheme="majorHAnsi" w:cstheme="majorBidi"/>
      <w:b w:val="0"/>
      <w:caps/>
      <w:color w:val="2D2E83"/>
      <w:spacing w:val="5"/>
      <w:kern w:val="28"/>
      <w:sz w:val="52"/>
      <w:szCs w:val="52"/>
      <w:lang w:val="ro-RO"/>
    </w:rPr>
  </w:style>
  <w:style w:type="character" w:styleId="ae">
    <w:name w:val="Intense Emphasis"/>
    <w:basedOn w:val="a0"/>
    <w:uiPriority w:val="21"/>
    <w:rsid w:val="007D5ACD"/>
    <w:rPr>
      <w:b/>
      <w:bCs w:val="0"/>
      <w:i/>
      <w:iCs/>
      <w:color w:val="4F81BD" w:themeColor="accent1"/>
    </w:rPr>
  </w:style>
  <w:style w:type="paragraph" w:styleId="af">
    <w:name w:val="No Spacing"/>
    <w:uiPriority w:val="1"/>
    <w:qFormat/>
    <w:rsid w:val="007D5ACD"/>
    <w:pPr>
      <w:spacing w:after="0" w:line="260" w:lineRule="exact"/>
      <w:contextualSpacing/>
      <w:jc w:val="both"/>
    </w:pPr>
    <w:rPr>
      <w:rFonts w:ascii="Cambria" w:hAnsi="Cambria"/>
      <w:b w:val="0"/>
      <w:color w:val="000000" w:themeColor="text1"/>
      <w:sz w:val="22"/>
      <w:lang w:val="ro-RO"/>
    </w:rPr>
  </w:style>
  <w:style w:type="paragraph" w:styleId="af0">
    <w:name w:val="List Paragraph"/>
    <w:aliases w:val="HotarirePunct1"/>
    <w:basedOn w:val="a"/>
    <w:link w:val="af1"/>
    <w:uiPriority w:val="34"/>
    <w:qFormat/>
    <w:rsid w:val="001B4895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F66F42"/>
    <w:rPr>
      <w:rFonts w:asciiTheme="majorHAnsi" w:eastAsiaTheme="majorEastAsia" w:hAnsiTheme="majorHAnsi" w:cstheme="majorBidi"/>
      <w:b w:val="0"/>
      <w:color w:val="365F91" w:themeColor="accent1" w:themeShade="BF"/>
      <w:sz w:val="26"/>
      <w:szCs w:val="26"/>
    </w:rPr>
  </w:style>
  <w:style w:type="paragraph" w:customStyle="1" w:styleId="31">
    <w:name w:val="Заголовок 31"/>
    <w:basedOn w:val="a"/>
    <w:next w:val="a"/>
    <w:unhideWhenUsed/>
    <w:qFormat/>
    <w:rsid w:val="00F66F42"/>
    <w:pPr>
      <w:keepNext/>
      <w:keepLines/>
      <w:spacing w:before="200" w:line="240" w:lineRule="auto"/>
      <w:jc w:val="left"/>
      <w:outlineLvl w:val="2"/>
    </w:pPr>
    <w:rPr>
      <w:rFonts w:ascii="Calibri Light" w:eastAsia="Times New Roman" w:hAnsi="Calibri Light"/>
      <w:b/>
      <w:shadow w:val="0"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0"/>
    <w:link w:val="4"/>
    <w:rsid w:val="00F66F42"/>
    <w:rPr>
      <w:rFonts w:ascii="Baltica RR" w:eastAsia="Times New Roman" w:hAnsi="Baltica RR"/>
      <w:bCs/>
      <w:shadow w:val="0"/>
      <w:color w:val="auto"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66F42"/>
    <w:rPr>
      <w:rFonts w:ascii="Times New Roman" w:eastAsia="Times New Roman" w:hAnsi="Times New Roman"/>
      <w:b w:val="0"/>
      <w:bCs/>
      <w:shadow w:val="0"/>
      <w:color w:val="auto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semiHidden/>
    <w:rsid w:val="00F66F42"/>
    <w:rPr>
      <w:rFonts w:ascii="Calibri" w:eastAsia="Times New Roman" w:hAnsi="Calibri"/>
      <w:b w:val="0"/>
      <w:bCs/>
      <w:i/>
      <w:iCs/>
      <w:shadow w:val="0"/>
      <w:color w:val="auto"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semiHidden/>
    <w:rsid w:val="00F66F42"/>
    <w:rPr>
      <w:rFonts w:ascii="Cambria" w:eastAsia="Times New Roman" w:hAnsi="Cambria"/>
      <w:b w:val="0"/>
      <w:bCs/>
      <w:shadow w:val="0"/>
      <w:color w:val="auto"/>
      <w:sz w:val="22"/>
      <w:szCs w:val="22"/>
      <w:lang w:val="ro-RO"/>
    </w:rPr>
  </w:style>
  <w:style w:type="numbering" w:customStyle="1" w:styleId="11">
    <w:name w:val="Нет списка1"/>
    <w:next w:val="a2"/>
    <w:uiPriority w:val="99"/>
    <w:semiHidden/>
    <w:unhideWhenUsed/>
    <w:rsid w:val="00F66F42"/>
  </w:style>
  <w:style w:type="character" w:customStyle="1" w:styleId="30">
    <w:name w:val="Заголовок 3 Знак"/>
    <w:basedOn w:val="a0"/>
    <w:link w:val="3"/>
    <w:rsid w:val="00F66F42"/>
    <w:rPr>
      <w:rFonts w:ascii="Calibri Light" w:eastAsia="Times New Roman" w:hAnsi="Calibri Light" w:cs="Times New Roman"/>
      <w:b w:val="0"/>
      <w:bCs/>
      <w:noProof/>
      <w:color w:val="5B9BD5"/>
      <w:sz w:val="24"/>
      <w:szCs w:val="24"/>
      <w:lang w:val="ro-RO"/>
    </w:rPr>
  </w:style>
  <w:style w:type="character" w:styleId="af2">
    <w:name w:val="page number"/>
    <w:basedOn w:val="a0"/>
    <w:rsid w:val="00F66F42"/>
  </w:style>
  <w:style w:type="paragraph" w:styleId="af3">
    <w:name w:val="Body Text"/>
    <w:basedOn w:val="a"/>
    <w:link w:val="af4"/>
    <w:rsid w:val="00F66F42"/>
    <w:pPr>
      <w:spacing w:line="240" w:lineRule="auto"/>
      <w:jc w:val="left"/>
    </w:pPr>
    <w:rPr>
      <w:rFonts w:ascii="Baltica RR" w:eastAsia="Times New Roman" w:hAnsi="Baltica RR"/>
      <w:bCs/>
      <w:shadow w:val="0"/>
      <w:color w:val="auto"/>
      <w:sz w:val="24"/>
      <w:szCs w:val="20"/>
      <w:lang w:val="ro-RO"/>
    </w:rPr>
  </w:style>
  <w:style w:type="character" w:customStyle="1" w:styleId="af4">
    <w:name w:val="Основной текст Знак"/>
    <w:basedOn w:val="a0"/>
    <w:link w:val="af3"/>
    <w:rsid w:val="00F66F42"/>
    <w:rPr>
      <w:rFonts w:ascii="Baltica RR" w:eastAsia="Times New Roman" w:hAnsi="Baltica RR"/>
      <w:b w:val="0"/>
      <w:bCs/>
      <w:shadow w:val="0"/>
      <w:color w:val="auto"/>
      <w:sz w:val="24"/>
      <w:szCs w:val="20"/>
      <w:lang w:val="ro-RO"/>
    </w:rPr>
  </w:style>
  <w:style w:type="paragraph" w:styleId="af5">
    <w:name w:val="Body Text Indent"/>
    <w:basedOn w:val="a"/>
    <w:link w:val="af6"/>
    <w:rsid w:val="00F66F42"/>
    <w:pPr>
      <w:spacing w:line="240" w:lineRule="auto"/>
      <w:ind w:firstLine="720"/>
    </w:pPr>
    <w:rPr>
      <w:rFonts w:ascii="Times New Roman" w:eastAsia="Times New Roman" w:hAnsi="Times New Roman"/>
      <w:bCs/>
      <w:shadow w:val="0"/>
      <w:color w:val="auto"/>
      <w:sz w:val="20"/>
      <w:szCs w:val="20"/>
      <w:lang w:val="ro-RO" w:eastAsia="ru-RU"/>
    </w:rPr>
  </w:style>
  <w:style w:type="character" w:customStyle="1" w:styleId="af6">
    <w:name w:val="Основной текст с отступом Знак"/>
    <w:basedOn w:val="a0"/>
    <w:link w:val="af5"/>
    <w:rsid w:val="00F66F42"/>
    <w:rPr>
      <w:rFonts w:ascii="Times New Roman" w:eastAsia="Times New Roman" w:hAnsi="Times New Roman"/>
      <w:b w:val="0"/>
      <w:bCs/>
      <w:shadow w:val="0"/>
      <w:color w:val="auto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66F42"/>
    <w:pPr>
      <w:spacing w:line="240" w:lineRule="auto"/>
      <w:ind w:firstLine="567"/>
      <w:jc w:val="left"/>
    </w:pPr>
    <w:rPr>
      <w:rFonts w:ascii="Baltica RR" w:eastAsia="Times New Roman" w:hAnsi="Baltica RR"/>
      <w:bCs/>
      <w:shadow w:val="0"/>
      <w:color w:val="auto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0"/>
    <w:link w:val="21"/>
    <w:rsid w:val="00F66F42"/>
    <w:rPr>
      <w:rFonts w:ascii="Baltica RR" w:eastAsia="Times New Roman" w:hAnsi="Baltica RR"/>
      <w:b w:val="0"/>
      <w:bCs/>
      <w:shadow w:val="0"/>
      <w:color w:val="auto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66F42"/>
    <w:pPr>
      <w:tabs>
        <w:tab w:val="left" w:pos="426"/>
      </w:tabs>
      <w:spacing w:line="240" w:lineRule="auto"/>
    </w:pPr>
    <w:rPr>
      <w:rFonts w:ascii="Baltica RR" w:eastAsia="Times New Roman" w:hAnsi="Baltica RR"/>
      <w:bCs/>
      <w:shadow w:val="0"/>
      <w:color w:val="auto"/>
      <w:sz w:val="24"/>
      <w:szCs w:val="20"/>
      <w:lang w:val="ro-RO" w:eastAsia="ru-RU"/>
    </w:rPr>
  </w:style>
  <w:style w:type="character" w:customStyle="1" w:styleId="24">
    <w:name w:val="Основной текст 2 Знак"/>
    <w:basedOn w:val="a0"/>
    <w:link w:val="23"/>
    <w:rsid w:val="00F66F42"/>
    <w:rPr>
      <w:rFonts w:ascii="Baltica RR" w:eastAsia="Times New Roman" w:hAnsi="Baltica RR"/>
      <w:b w:val="0"/>
      <w:bCs/>
      <w:shadow w:val="0"/>
      <w:color w:val="auto"/>
      <w:sz w:val="24"/>
      <w:szCs w:val="20"/>
      <w:lang w:val="ro-RO" w:eastAsia="ru-RU"/>
    </w:rPr>
  </w:style>
  <w:style w:type="table" w:styleId="af7">
    <w:name w:val="Table Grid"/>
    <w:basedOn w:val="a1"/>
    <w:uiPriority w:val="39"/>
    <w:rsid w:val="00F66F42"/>
    <w:pPr>
      <w:spacing w:after="0" w:line="240" w:lineRule="auto"/>
    </w:pPr>
    <w:rPr>
      <w:rFonts w:ascii="Times New Roman" w:eastAsia="Times New Roman" w:hAnsi="Times New Roman"/>
      <w:b w:val="0"/>
      <w:bCs/>
      <w:shadow w:val="0"/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rmal (Web)"/>
    <w:basedOn w:val="a"/>
    <w:unhideWhenUsed/>
    <w:rsid w:val="00F66F42"/>
    <w:pPr>
      <w:spacing w:line="240" w:lineRule="auto"/>
      <w:ind w:firstLine="567"/>
    </w:pPr>
    <w:rPr>
      <w:rFonts w:ascii="Times New Roman" w:eastAsia="Times New Roman" w:hAnsi="Times New Roman"/>
      <w:bCs/>
      <w:shadow w:val="0"/>
      <w:color w:val="auto"/>
      <w:sz w:val="24"/>
      <w:szCs w:val="24"/>
      <w:lang w:val="ru-RU" w:eastAsia="ru-RU"/>
    </w:rPr>
  </w:style>
  <w:style w:type="paragraph" w:customStyle="1" w:styleId="cn">
    <w:name w:val="cn"/>
    <w:basedOn w:val="a"/>
    <w:rsid w:val="00F66F42"/>
    <w:pPr>
      <w:spacing w:line="240" w:lineRule="auto"/>
      <w:jc w:val="center"/>
    </w:pPr>
    <w:rPr>
      <w:rFonts w:ascii="Times New Roman" w:eastAsia="Times New Roman" w:hAnsi="Times New Roman"/>
      <w:bCs/>
      <w:shadow w:val="0"/>
      <w:color w:val="auto"/>
      <w:sz w:val="24"/>
      <w:szCs w:val="24"/>
      <w:lang w:val="ru-RU" w:eastAsia="ru-RU"/>
    </w:rPr>
  </w:style>
  <w:style w:type="paragraph" w:customStyle="1" w:styleId="cb">
    <w:name w:val="cb"/>
    <w:basedOn w:val="a"/>
    <w:rsid w:val="00F66F42"/>
    <w:pPr>
      <w:spacing w:line="240" w:lineRule="auto"/>
      <w:jc w:val="center"/>
    </w:pPr>
    <w:rPr>
      <w:rFonts w:ascii="Times New Roman" w:eastAsia="Times New Roman" w:hAnsi="Times New Roman"/>
      <w:b/>
      <w:shadow w:val="0"/>
      <w:color w:val="auto"/>
      <w:sz w:val="24"/>
      <w:szCs w:val="24"/>
      <w:lang w:val="ru-RU" w:eastAsia="ru-RU"/>
    </w:rPr>
  </w:style>
  <w:style w:type="paragraph" w:styleId="32">
    <w:name w:val="Body Text Indent 3"/>
    <w:basedOn w:val="a"/>
    <w:link w:val="33"/>
    <w:rsid w:val="00F66F42"/>
    <w:pPr>
      <w:spacing w:after="120" w:line="240" w:lineRule="auto"/>
      <w:ind w:left="283"/>
      <w:jc w:val="left"/>
    </w:pPr>
    <w:rPr>
      <w:rFonts w:ascii="Times New Roman" w:eastAsia="Times New Roman" w:hAnsi="Times New Roman"/>
      <w:bCs/>
      <w:shadow w:val="0"/>
      <w:color w:val="auto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0"/>
    <w:link w:val="32"/>
    <w:rsid w:val="00F66F42"/>
    <w:rPr>
      <w:rFonts w:ascii="Times New Roman" w:eastAsia="Times New Roman" w:hAnsi="Times New Roman"/>
      <w:b w:val="0"/>
      <w:bCs/>
      <w:shadow w:val="0"/>
      <w:color w:val="auto"/>
      <w:sz w:val="16"/>
      <w:szCs w:val="16"/>
      <w:lang w:val="ro-RO"/>
    </w:rPr>
  </w:style>
  <w:style w:type="character" w:styleId="af9">
    <w:name w:val="Hyperlink"/>
    <w:uiPriority w:val="99"/>
    <w:rsid w:val="00F66F42"/>
    <w:rPr>
      <w:color w:val="0000FF"/>
      <w:u w:val="single"/>
    </w:rPr>
  </w:style>
  <w:style w:type="paragraph" w:customStyle="1" w:styleId="cp">
    <w:name w:val="cp"/>
    <w:basedOn w:val="a"/>
    <w:rsid w:val="00F66F42"/>
    <w:pPr>
      <w:spacing w:line="240" w:lineRule="auto"/>
      <w:jc w:val="center"/>
    </w:pPr>
    <w:rPr>
      <w:rFonts w:ascii="Times New Roman" w:eastAsia="Times New Roman" w:hAnsi="Times New Roman"/>
      <w:b/>
      <w:shadow w:val="0"/>
      <w:color w:val="auto"/>
      <w:sz w:val="24"/>
      <w:szCs w:val="24"/>
      <w:lang w:val="ro-RO" w:eastAsia="ru-RU"/>
    </w:rPr>
  </w:style>
  <w:style w:type="paragraph" w:customStyle="1" w:styleId="rg">
    <w:name w:val="rg"/>
    <w:basedOn w:val="a"/>
    <w:rsid w:val="00F66F42"/>
    <w:pPr>
      <w:spacing w:line="240" w:lineRule="auto"/>
      <w:jc w:val="right"/>
    </w:pPr>
    <w:rPr>
      <w:rFonts w:ascii="Times New Roman" w:eastAsia="Times New Roman" w:hAnsi="Times New Roman"/>
      <w:bCs/>
      <w:shadow w:val="0"/>
      <w:color w:val="auto"/>
      <w:sz w:val="24"/>
      <w:szCs w:val="24"/>
      <w:lang w:val="ru-RU" w:eastAsia="ru-RU"/>
    </w:rPr>
  </w:style>
  <w:style w:type="paragraph" w:customStyle="1" w:styleId="Listparagraf1">
    <w:name w:val="Listă paragraf1"/>
    <w:basedOn w:val="a"/>
    <w:qFormat/>
    <w:rsid w:val="00F66F42"/>
    <w:pPr>
      <w:spacing w:line="240" w:lineRule="auto"/>
      <w:ind w:left="708"/>
      <w:jc w:val="left"/>
    </w:pPr>
    <w:rPr>
      <w:rFonts w:ascii="Times New Roman" w:eastAsia="Times New Roman" w:hAnsi="Times New Roman"/>
      <w:bCs/>
      <w:shadow w:val="0"/>
      <w:color w:val="auto"/>
      <w:sz w:val="24"/>
      <w:szCs w:val="24"/>
      <w:lang w:val="ro-RO" w:eastAsia="ru-RU"/>
    </w:rPr>
  </w:style>
  <w:style w:type="paragraph" w:customStyle="1" w:styleId="Sub-ClauseText">
    <w:name w:val="Sub-Clause Text"/>
    <w:basedOn w:val="a"/>
    <w:rsid w:val="00F66F42"/>
    <w:pPr>
      <w:spacing w:before="120" w:after="120" w:line="240" w:lineRule="auto"/>
    </w:pPr>
    <w:rPr>
      <w:rFonts w:ascii="Times New Roman" w:eastAsia="Times New Roman" w:hAnsi="Times New Roman"/>
      <w:bCs/>
      <w:shadow w:val="0"/>
      <w:color w:val="auto"/>
      <w:spacing w:val="-4"/>
      <w:sz w:val="24"/>
      <w:szCs w:val="20"/>
    </w:rPr>
  </w:style>
  <w:style w:type="paragraph" w:customStyle="1" w:styleId="i">
    <w:name w:val="(i)"/>
    <w:basedOn w:val="a"/>
    <w:rsid w:val="00F66F42"/>
    <w:pPr>
      <w:suppressAutoHyphens/>
      <w:spacing w:line="240" w:lineRule="auto"/>
    </w:pPr>
    <w:rPr>
      <w:rFonts w:ascii="Tms Rmn" w:eastAsia="Times New Roman" w:hAnsi="Tms Rmn"/>
      <w:bCs/>
      <w:shadow w:val="0"/>
      <w:color w:val="auto"/>
      <w:sz w:val="24"/>
      <w:szCs w:val="20"/>
    </w:rPr>
  </w:style>
  <w:style w:type="paragraph" w:customStyle="1" w:styleId="ListParagraph1">
    <w:name w:val="List Paragraph1"/>
    <w:basedOn w:val="a"/>
    <w:qFormat/>
    <w:rsid w:val="00F66F42"/>
    <w:pPr>
      <w:spacing w:after="200" w:line="276" w:lineRule="auto"/>
      <w:ind w:left="720"/>
      <w:contextualSpacing/>
      <w:jc w:val="left"/>
    </w:pPr>
    <w:rPr>
      <w:rFonts w:ascii="Calibri" w:eastAsia="PMingLiU" w:hAnsi="Calibri"/>
      <w:bCs/>
      <w:shadow w:val="0"/>
      <w:color w:val="auto"/>
      <w:szCs w:val="22"/>
      <w:lang w:eastAsia="zh-CN"/>
    </w:rPr>
  </w:style>
  <w:style w:type="paragraph" w:customStyle="1" w:styleId="BankNormal">
    <w:name w:val="BankNormal"/>
    <w:basedOn w:val="a"/>
    <w:rsid w:val="00F66F42"/>
    <w:pPr>
      <w:spacing w:after="240" w:line="240" w:lineRule="auto"/>
      <w:jc w:val="left"/>
    </w:pPr>
    <w:rPr>
      <w:rFonts w:ascii="Times New Roman" w:eastAsia="Times New Roman" w:hAnsi="Times New Roman"/>
      <w:bCs/>
      <w:shadow w:val="0"/>
      <w:color w:val="auto"/>
      <w:sz w:val="24"/>
      <w:szCs w:val="20"/>
    </w:rPr>
  </w:style>
  <w:style w:type="paragraph" w:styleId="afa">
    <w:name w:val="TOC Heading"/>
    <w:basedOn w:val="1"/>
    <w:next w:val="a"/>
    <w:uiPriority w:val="39"/>
    <w:unhideWhenUsed/>
    <w:qFormat/>
    <w:rsid w:val="00F66F42"/>
    <w:pPr>
      <w:spacing w:before="240" w:after="0" w:line="259" w:lineRule="auto"/>
      <w:contextualSpacing w:val="0"/>
      <w:jc w:val="left"/>
      <w:outlineLvl w:val="9"/>
    </w:pPr>
    <w:rPr>
      <w:rFonts w:ascii="Calibri Light" w:eastAsia="SimSun" w:hAnsi="Calibri Light" w:cs="Times New Roman"/>
      <w:shadow w:val="0"/>
      <w:color w:val="2E74B5"/>
      <w:sz w:val="32"/>
      <w:szCs w:val="32"/>
      <w:lang w:val="en-US"/>
    </w:rPr>
  </w:style>
  <w:style w:type="paragraph" w:styleId="25">
    <w:name w:val="toc 2"/>
    <w:basedOn w:val="a"/>
    <w:next w:val="a"/>
    <w:autoRedefine/>
    <w:uiPriority w:val="39"/>
    <w:unhideWhenUsed/>
    <w:rsid w:val="00F66F42"/>
    <w:pPr>
      <w:tabs>
        <w:tab w:val="left" w:pos="660"/>
        <w:tab w:val="right" w:leader="dot" w:pos="9628"/>
      </w:tabs>
      <w:spacing w:after="100" w:line="259" w:lineRule="auto"/>
      <w:ind w:left="220"/>
      <w:jc w:val="left"/>
    </w:pPr>
    <w:rPr>
      <w:rFonts w:ascii="Times New Roman" w:eastAsia="SimSun" w:hAnsi="Times New Roman"/>
      <w:b/>
      <w:bCs/>
      <w:shadow w:val="0"/>
      <w:noProof/>
      <w:color w:val="auto"/>
      <w:sz w:val="24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F66F42"/>
    <w:pPr>
      <w:tabs>
        <w:tab w:val="right" w:leader="dot" w:pos="9638"/>
      </w:tabs>
      <w:spacing w:after="100" w:line="259" w:lineRule="auto"/>
      <w:jc w:val="left"/>
    </w:pPr>
    <w:rPr>
      <w:rFonts w:ascii="Times New Roman" w:eastAsia="SimSun" w:hAnsi="Times New Roman"/>
      <w:b/>
      <w:bCs/>
      <w:shadow w:val="0"/>
      <w:noProof/>
      <w:color w:val="auto"/>
      <w:sz w:val="24"/>
      <w:szCs w:val="24"/>
    </w:rPr>
  </w:style>
  <w:style w:type="paragraph" w:styleId="34">
    <w:name w:val="toc 3"/>
    <w:basedOn w:val="a"/>
    <w:next w:val="a"/>
    <w:autoRedefine/>
    <w:uiPriority w:val="39"/>
    <w:unhideWhenUsed/>
    <w:rsid w:val="00F66F42"/>
    <w:pPr>
      <w:spacing w:after="100" w:line="259" w:lineRule="auto"/>
      <w:ind w:left="440"/>
      <w:jc w:val="left"/>
    </w:pPr>
    <w:rPr>
      <w:rFonts w:ascii="Calibri" w:eastAsia="SimSun" w:hAnsi="Calibri"/>
      <w:bCs/>
      <w:shadow w:val="0"/>
      <w:color w:val="auto"/>
      <w:szCs w:val="22"/>
    </w:rPr>
  </w:style>
  <w:style w:type="paragraph" w:styleId="afb">
    <w:name w:val="footnote text"/>
    <w:basedOn w:val="a"/>
    <w:link w:val="afc"/>
    <w:rsid w:val="00F66F42"/>
    <w:pPr>
      <w:spacing w:line="240" w:lineRule="auto"/>
    </w:pPr>
    <w:rPr>
      <w:rFonts w:ascii="Times New Roman" w:eastAsia="Times New Roman" w:hAnsi="Times New Roman"/>
      <w:bCs/>
      <w:shadow w:val="0"/>
      <w:color w:val="auto"/>
      <w:sz w:val="20"/>
      <w:szCs w:val="20"/>
    </w:rPr>
  </w:style>
  <w:style w:type="character" w:customStyle="1" w:styleId="afc">
    <w:name w:val="Текст сноски Знак"/>
    <w:basedOn w:val="a0"/>
    <w:link w:val="afb"/>
    <w:rsid w:val="00F66F42"/>
    <w:rPr>
      <w:rFonts w:ascii="Times New Roman" w:eastAsia="Times New Roman" w:hAnsi="Times New Roman"/>
      <w:b w:val="0"/>
      <w:bCs/>
      <w:shadow w:val="0"/>
      <w:color w:val="auto"/>
      <w:sz w:val="20"/>
      <w:szCs w:val="20"/>
    </w:rPr>
  </w:style>
  <w:style w:type="character" w:styleId="afd">
    <w:name w:val="footnote reference"/>
    <w:rsid w:val="00F66F42"/>
    <w:rPr>
      <w:vertAlign w:val="superscript"/>
    </w:rPr>
  </w:style>
  <w:style w:type="character" w:styleId="afe">
    <w:name w:val="annotation reference"/>
    <w:uiPriority w:val="99"/>
    <w:rsid w:val="00F66F42"/>
    <w:rPr>
      <w:sz w:val="16"/>
      <w:szCs w:val="16"/>
    </w:rPr>
  </w:style>
  <w:style w:type="paragraph" w:styleId="aff">
    <w:name w:val="annotation text"/>
    <w:basedOn w:val="a"/>
    <w:link w:val="aff0"/>
    <w:uiPriority w:val="99"/>
    <w:rsid w:val="00F66F42"/>
    <w:pPr>
      <w:spacing w:line="240" w:lineRule="auto"/>
      <w:jc w:val="left"/>
    </w:pPr>
    <w:rPr>
      <w:rFonts w:ascii="Times New Roman" w:eastAsia="Times New Roman" w:hAnsi="Times New Roman"/>
      <w:bCs/>
      <w:shadow w:val="0"/>
      <w:color w:val="auto"/>
      <w:sz w:val="20"/>
      <w:szCs w:val="20"/>
      <w:lang w:val="ru-RU" w:eastAsia="ru-RU"/>
    </w:rPr>
  </w:style>
  <w:style w:type="character" w:customStyle="1" w:styleId="aff0">
    <w:name w:val="Текст примечания Знак"/>
    <w:basedOn w:val="a0"/>
    <w:link w:val="aff"/>
    <w:uiPriority w:val="99"/>
    <w:rsid w:val="00F66F42"/>
    <w:rPr>
      <w:rFonts w:ascii="Times New Roman" w:eastAsia="Times New Roman" w:hAnsi="Times New Roman"/>
      <w:b w:val="0"/>
      <w:bCs/>
      <w:shadow w:val="0"/>
      <w:color w:val="auto"/>
      <w:sz w:val="20"/>
      <w:szCs w:val="20"/>
      <w:lang w:val="ru-RU" w:eastAsia="ru-RU"/>
    </w:rPr>
  </w:style>
  <w:style w:type="paragraph" w:styleId="aff1">
    <w:name w:val="annotation subject"/>
    <w:basedOn w:val="aff"/>
    <w:next w:val="aff"/>
    <w:link w:val="aff2"/>
    <w:rsid w:val="00F66F42"/>
    <w:rPr>
      <w:b/>
      <w:bCs w:val="0"/>
    </w:rPr>
  </w:style>
  <w:style w:type="character" w:customStyle="1" w:styleId="aff2">
    <w:name w:val="Тема примечания Знак"/>
    <w:basedOn w:val="aff0"/>
    <w:link w:val="aff1"/>
    <w:rsid w:val="00F66F42"/>
    <w:rPr>
      <w:rFonts w:ascii="Times New Roman" w:eastAsia="Times New Roman" w:hAnsi="Times New Roman"/>
      <w:b/>
      <w:bCs w:val="0"/>
      <w:shadow w:val="0"/>
      <w:color w:val="auto"/>
      <w:sz w:val="20"/>
      <w:szCs w:val="20"/>
      <w:lang w:val="ru-RU" w:eastAsia="ru-RU"/>
    </w:rPr>
  </w:style>
  <w:style w:type="paragraph" w:customStyle="1" w:styleId="Default">
    <w:name w:val="Default"/>
    <w:rsid w:val="00F66F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b w:val="0"/>
      <w:bCs/>
      <w:shadow w:val="0"/>
      <w:color w:val="000000"/>
      <w:sz w:val="24"/>
      <w:szCs w:val="24"/>
      <w:lang w:eastAsia="zh-CN"/>
    </w:rPr>
  </w:style>
  <w:style w:type="paragraph" w:customStyle="1" w:styleId="Standard">
    <w:name w:val="Standard"/>
    <w:rsid w:val="00F66F42"/>
    <w:pPr>
      <w:suppressAutoHyphens/>
      <w:autoSpaceDN w:val="0"/>
    </w:pPr>
    <w:rPr>
      <w:rFonts w:ascii="Calibri" w:eastAsia="Calibri" w:hAnsi="Calibri" w:cs="Calibri"/>
      <w:b w:val="0"/>
      <w:bCs/>
      <w:shadow w:val="0"/>
      <w:color w:val="auto"/>
      <w:kern w:val="3"/>
      <w:sz w:val="22"/>
      <w:szCs w:val="22"/>
    </w:rPr>
  </w:style>
  <w:style w:type="character" w:customStyle="1" w:styleId="apple-converted-space">
    <w:name w:val="apple-converted-space"/>
    <w:rsid w:val="00F66F42"/>
  </w:style>
  <w:style w:type="paragraph" w:customStyle="1" w:styleId="Style3">
    <w:name w:val="Style3"/>
    <w:basedOn w:val="3"/>
    <w:link w:val="Style3Char"/>
    <w:qFormat/>
    <w:rsid w:val="00F66F42"/>
  </w:style>
  <w:style w:type="character" w:customStyle="1" w:styleId="Style3Char">
    <w:name w:val="Style3 Char"/>
    <w:link w:val="Style3"/>
    <w:rsid w:val="00F66F42"/>
    <w:rPr>
      <w:rFonts w:ascii="Calibri Light" w:eastAsia="Times New Roman" w:hAnsi="Calibri Light"/>
      <w:b w:val="0"/>
      <w:bCs/>
      <w:noProof/>
      <w:color w:val="5B9BD5"/>
      <w:sz w:val="24"/>
      <w:szCs w:val="24"/>
      <w:lang w:val="ro-RO"/>
    </w:rPr>
  </w:style>
  <w:style w:type="paragraph" w:styleId="41">
    <w:name w:val="toc 4"/>
    <w:basedOn w:val="a"/>
    <w:next w:val="a"/>
    <w:autoRedefine/>
    <w:uiPriority w:val="39"/>
    <w:unhideWhenUsed/>
    <w:rsid w:val="00F66F42"/>
    <w:pPr>
      <w:spacing w:after="100" w:line="276" w:lineRule="auto"/>
      <w:ind w:left="660"/>
      <w:jc w:val="left"/>
    </w:pPr>
    <w:rPr>
      <w:rFonts w:ascii="Calibri" w:eastAsia="Times New Roman" w:hAnsi="Calibri"/>
      <w:bCs/>
      <w:shadow w:val="0"/>
      <w:color w:val="auto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F66F42"/>
    <w:pPr>
      <w:spacing w:after="100" w:line="276" w:lineRule="auto"/>
      <w:ind w:left="880"/>
      <w:jc w:val="left"/>
    </w:pPr>
    <w:rPr>
      <w:rFonts w:ascii="Calibri" w:eastAsia="Times New Roman" w:hAnsi="Calibri"/>
      <w:bCs/>
      <w:shadow w:val="0"/>
      <w:color w:val="auto"/>
      <w:szCs w:val="22"/>
    </w:rPr>
  </w:style>
  <w:style w:type="paragraph" w:styleId="6">
    <w:name w:val="toc 6"/>
    <w:basedOn w:val="a"/>
    <w:next w:val="a"/>
    <w:autoRedefine/>
    <w:uiPriority w:val="39"/>
    <w:unhideWhenUsed/>
    <w:rsid w:val="00F66F42"/>
    <w:pPr>
      <w:spacing w:after="100" w:line="276" w:lineRule="auto"/>
      <w:ind w:left="1100"/>
      <w:jc w:val="left"/>
    </w:pPr>
    <w:rPr>
      <w:rFonts w:ascii="Calibri" w:eastAsia="Times New Roman" w:hAnsi="Calibri"/>
      <w:bCs/>
      <w:shadow w:val="0"/>
      <w:color w:val="auto"/>
      <w:szCs w:val="22"/>
    </w:rPr>
  </w:style>
  <w:style w:type="paragraph" w:styleId="7">
    <w:name w:val="toc 7"/>
    <w:basedOn w:val="a"/>
    <w:next w:val="a"/>
    <w:autoRedefine/>
    <w:uiPriority w:val="39"/>
    <w:unhideWhenUsed/>
    <w:rsid w:val="00F66F42"/>
    <w:pPr>
      <w:spacing w:after="100" w:line="276" w:lineRule="auto"/>
      <w:ind w:left="1320"/>
      <w:jc w:val="left"/>
    </w:pPr>
    <w:rPr>
      <w:rFonts w:ascii="Calibri" w:eastAsia="Times New Roman" w:hAnsi="Calibri"/>
      <w:bCs/>
      <w:shadow w:val="0"/>
      <w:color w:val="auto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F66F42"/>
    <w:pPr>
      <w:spacing w:after="100" w:line="276" w:lineRule="auto"/>
      <w:ind w:left="1540"/>
      <w:jc w:val="left"/>
    </w:pPr>
    <w:rPr>
      <w:rFonts w:ascii="Calibri" w:eastAsia="Times New Roman" w:hAnsi="Calibri"/>
      <w:bCs/>
      <w:shadow w:val="0"/>
      <w:color w:val="auto"/>
      <w:szCs w:val="22"/>
    </w:rPr>
  </w:style>
  <w:style w:type="paragraph" w:styleId="91">
    <w:name w:val="toc 9"/>
    <w:basedOn w:val="a"/>
    <w:next w:val="a"/>
    <w:autoRedefine/>
    <w:uiPriority w:val="39"/>
    <w:unhideWhenUsed/>
    <w:rsid w:val="00F66F42"/>
    <w:pPr>
      <w:spacing w:after="100" w:line="276" w:lineRule="auto"/>
      <w:ind w:left="1760"/>
      <w:jc w:val="left"/>
    </w:pPr>
    <w:rPr>
      <w:rFonts w:ascii="Calibri" w:eastAsia="Times New Roman" w:hAnsi="Calibri"/>
      <w:bCs/>
      <w:shadow w:val="0"/>
      <w:color w:val="auto"/>
      <w:szCs w:val="22"/>
    </w:rPr>
  </w:style>
  <w:style w:type="paragraph" w:customStyle="1" w:styleId="Style153">
    <w:name w:val="Style153"/>
    <w:basedOn w:val="a"/>
    <w:uiPriority w:val="99"/>
    <w:rsid w:val="00F66F42"/>
    <w:pPr>
      <w:widowControl w:val="0"/>
      <w:autoSpaceDE w:val="0"/>
      <w:autoSpaceDN w:val="0"/>
      <w:adjustRightInd w:val="0"/>
      <w:spacing w:line="317" w:lineRule="exact"/>
    </w:pPr>
    <w:rPr>
      <w:rFonts w:ascii="Times New Roman" w:eastAsia="Times New Roman" w:hAnsi="Times New Roman"/>
      <w:bCs/>
      <w:shadow w:val="0"/>
      <w:color w:val="auto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F66F42"/>
    <w:rPr>
      <w:rFonts w:ascii="Times New Roman" w:hAnsi="Times New Roman" w:cs="Times New Roman"/>
      <w:b w:val="0"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F66F42"/>
    <w:pPr>
      <w:widowControl w:val="0"/>
      <w:autoSpaceDE w:val="0"/>
      <w:autoSpaceDN w:val="0"/>
      <w:adjustRightInd w:val="0"/>
      <w:spacing w:line="314" w:lineRule="exact"/>
    </w:pPr>
    <w:rPr>
      <w:rFonts w:ascii="Times New Roman" w:eastAsia="Times New Roman" w:hAnsi="Times New Roman"/>
      <w:bCs/>
      <w:shadow w:val="0"/>
      <w:color w:val="auto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F66F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F66F42"/>
    <w:pPr>
      <w:spacing w:line="240" w:lineRule="auto"/>
      <w:jc w:val="left"/>
    </w:pPr>
    <w:rPr>
      <w:rFonts w:ascii="Consolas" w:eastAsia="Times New Roman" w:hAnsi="Consolas"/>
      <w:bCs/>
      <w:shadow w:val="0"/>
      <w:noProof/>
      <w:color w:val="auto"/>
      <w:sz w:val="20"/>
      <w:szCs w:val="20"/>
      <w:lang w:val="ro-RO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6F42"/>
    <w:rPr>
      <w:rFonts w:ascii="Consolas" w:eastAsia="Times New Roman" w:hAnsi="Consolas"/>
      <w:b w:val="0"/>
      <w:bCs/>
      <w:shadow w:val="0"/>
      <w:noProof/>
      <w:color w:val="auto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F66F42"/>
    <w:rPr>
      <w:rFonts w:ascii="Calibri Light" w:eastAsia="Calibri" w:hAnsi="Calibri Light"/>
      <w:b w:val="0"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F66F42"/>
  </w:style>
  <w:style w:type="character" w:customStyle="1" w:styleId="aff3">
    <w:name w:val="Основной текст + Курсив"/>
    <w:rsid w:val="00F66F42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4">
    <w:name w:val="Strong"/>
    <w:basedOn w:val="a0"/>
    <w:uiPriority w:val="22"/>
    <w:qFormat/>
    <w:rsid w:val="00F66F42"/>
    <w:rPr>
      <w:b w:val="0"/>
      <w:bCs/>
    </w:rPr>
  </w:style>
  <w:style w:type="paragraph" w:styleId="aff5">
    <w:name w:val="Revision"/>
    <w:hidden/>
    <w:uiPriority w:val="99"/>
    <w:semiHidden/>
    <w:rsid w:val="00F66F42"/>
    <w:pPr>
      <w:spacing w:after="0" w:line="240" w:lineRule="auto"/>
    </w:pPr>
    <w:rPr>
      <w:rFonts w:ascii="Times New Roman" w:eastAsia="Times New Roman" w:hAnsi="Times New Roman"/>
      <w:b w:val="0"/>
      <w:bCs/>
      <w:shadow w:val="0"/>
      <w:noProof/>
      <w:color w:val="auto"/>
      <w:sz w:val="24"/>
      <w:szCs w:val="24"/>
      <w:lang w:val="ro-RO"/>
    </w:rPr>
  </w:style>
  <w:style w:type="table" w:customStyle="1" w:styleId="Grigliatabella1">
    <w:name w:val="Griglia tabella1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/>
      <w:shadow w:val="0"/>
      <w:color w:val="auto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/>
      <w:shadow w:val="0"/>
      <w:color w:val="auto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/>
      <w:shadow w:val="0"/>
      <w:color w:val="auto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/>
      <w:shadow w:val="0"/>
      <w:color w:val="auto"/>
      <w:sz w:val="22"/>
      <w:szCs w:val="22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/>
      <w:shadow w:val="0"/>
      <w:color w:val="auto"/>
      <w:sz w:val="22"/>
      <w:szCs w:val="22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6">
    <w:name w:val="Placeholder Text"/>
    <w:basedOn w:val="a0"/>
    <w:uiPriority w:val="99"/>
    <w:semiHidden/>
    <w:rsid w:val="00F66F42"/>
    <w:rPr>
      <w:color w:val="808080"/>
    </w:rPr>
  </w:style>
  <w:style w:type="character" w:customStyle="1" w:styleId="ln2paragraf1">
    <w:name w:val="ln2paragraf1"/>
    <w:rsid w:val="00F66F42"/>
    <w:rPr>
      <w:b w:val="0"/>
      <w:bCs/>
    </w:rPr>
  </w:style>
  <w:style w:type="character" w:customStyle="1" w:styleId="ln2tparagraf">
    <w:name w:val="ln2tparagraf"/>
    <w:rsid w:val="00F66F42"/>
  </w:style>
  <w:style w:type="character" w:customStyle="1" w:styleId="ln2tpunct">
    <w:name w:val="ln2tpunct"/>
    <w:rsid w:val="00F66F42"/>
  </w:style>
  <w:style w:type="character" w:customStyle="1" w:styleId="af1">
    <w:name w:val="Абзац списка Знак"/>
    <w:aliases w:val="HotarirePunct1 Знак"/>
    <w:link w:val="af0"/>
    <w:uiPriority w:val="34"/>
    <w:locked/>
    <w:rsid w:val="00F66F42"/>
    <w:rPr>
      <w:b w:val="0"/>
      <w:color w:val="000000" w:themeColor="text1"/>
      <w:sz w:val="22"/>
    </w:rPr>
  </w:style>
  <w:style w:type="character" w:customStyle="1" w:styleId="UnresolvedMention1">
    <w:name w:val="Unresolved Mention1"/>
    <w:basedOn w:val="a0"/>
    <w:uiPriority w:val="99"/>
    <w:semiHidden/>
    <w:unhideWhenUsed/>
    <w:rsid w:val="00F66F42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F66F42"/>
    <w:rPr>
      <w:color w:val="605E5C"/>
      <w:shd w:val="clear" w:color="auto" w:fill="E1DFDD"/>
    </w:rPr>
  </w:style>
  <w:style w:type="character" w:customStyle="1" w:styleId="tax1">
    <w:name w:val="tax1"/>
    <w:rsid w:val="00F66F42"/>
    <w:rPr>
      <w:b w:val="0"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F66F42"/>
    <w:pPr>
      <w:spacing w:line="240" w:lineRule="auto"/>
      <w:jc w:val="left"/>
    </w:pPr>
    <w:rPr>
      <w:rFonts w:ascii="Times New Roman" w:eastAsia="Times New Roman" w:hAnsi="Times New Roman"/>
      <w:bCs/>
      <w:shadow w:val="0"/>
      <w:noProof/>
      <w:color w:val="auto"/>
      <w:sz w:val="24"/>
      <w:szCs w:val="20"/>
    </w:rPr>
  </w:style>
  <w:style w:type="character" w:customStyle="1" w:styleId="DefaultTextChar">
    <w:name w:val="Default Text Char"/>
    <w:link w:val="DefaultText"/>
    <w:uiPriority w:val="99"/>
    <w:locked/>
    <w:rsid w:val="00F66F42"/>
    <w:rPr>
      <w:rFonts w:ascii="Times New Roman" w:eastAsia="Times New Roman" w:hAnsi="Times New Roman"/>
      <w:b w:val="0"/>
      <w:bCs/>
      <w:shadow w:val="0"/>
      <w:noProof/>
      <w:color w:val="auto"/>
      <w:sz w:val="24"/>
      <w:szCs w:val="20"/>
    </w:rPr>
  </w:style>
  <w:style w:type="character" w:customStyle="1" w:styleId="310">
    <w:name w:val="Заголовок 3 Знак1"/>
    <w:basedOn w:val="a0"/>
    <w:uiPriority w:val="9"/>
    <w:semiHidden/>
    <w:rsid w:val="00F66F42"/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4AEA8-3F39-4CF4-9943-7C19E129D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2171</Words>
  <Characters>12380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14522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Eugenia</cp:lastModifiedBy>
  <cp:revision>8</cp:revision>
  <cp:lastPrinted>2022-03-22T12:19:00Z</cp:lastPrinted>
  <dcterms:created xsi:type="dcterms:W3CDTF">2023-08-28T11:20:00Z</dcterms:created>
  <dcterms:modified xsi:type="dcterms:W3CDTF">2024-10-29T11:47:00Z</dcterms:modified>
</cp:coreProperties>
</file>