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27" w:rsidRPr="00F75391" w:rsidRDefault="00F61627" w:rsidP="00F75391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56270"/>
          <w:sz w:val="40"/>
          <w:szCs w:val="40"/>
          <w:lang w:val="ro-RO" w:eastAsia="ru-RU"/>
        </w:rPr>
      </w:pPr>
      <w:r w:rsidRPr="00F75391">
        <w:rPr>
          <w:rFonts w:ascii="inherit" w:eastAsia="Times New Roman" w:hAnsi="inherit" w:cs="Arial"/>
          <w:b/>
          <w:bCs/>
          <w:color w:val="556270"/>
          <w:sz w:val="40"/>
          <w:szCs w:val="40"/>
          <w:bdr w:val="none" w:sz="0" w:space="0" w:color="auto" w:frame="1"/>
          <w:lang w:val="ro-RO" w:eastAsia="ru-RU"/>
        </w:rPr>
        <w:t>Caracteristici ale utilizării pungilor de urină</w:t>
      </w:r>
    </w:p>
    <w:p w:rsidR="00F75391" w:rsidRDefault="00F75391" w:rsidP="00F7539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o-RO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Există pungi de colectare a urinei</w:t>
      </w:r>
      <w:r w:rsidR="00F61627" w:rsidRPr="00F7539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concepute special pentru băieți și fete. Acestea diferă doar prin forma deschiderii de intrare, care ia în considerare caracteristicile anatomice ale corpului și împiedică fluxul materialului în timpul manipulării.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="00F61627" w:rsidRPr="00F7539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desea</w:t>
      </w:r>
      <w:r w:rsidR="00134E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F61627" w:rsidRPr="00F7539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colectorul de urină universal nu permite evitarea accidentelor neplăcute și atingerea gradului dorit de sterilitate.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61627" w:rsidRPr="00F753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o-RO"/>
        </w:rPr>
        <w:t>Elementul final de proiectare este o deschidere specială pentru primirea urinei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. </w:t>
      </w:r>
      <w:bookmarkEnd w:id="0"/>
    </w:p>
    <w:p w:rsidR="00F75391" w:rsidRDefault="00F75391" w:rsidP="00F7539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o-RO"/>
        </w:rPr>
      </w:pPr>
    </w:p>
    <w:p w:rsidR="00F75391" w:rsidRDefault="00F75391" w:rsidP="00F7539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o-RO"/>
        </w:rPr>
        <w:t>Exemplu:</w:t>
      </w:r>
    </w:p>
    <w:p w:rsidR="00F75391" w:rsidRDefault="00F75391" w:rsidP="00F7539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:rsidR="00FA6F12" w:rsidRPr="00F75391" w:rsidRDefault="00F61627" w:rsidP="00F7539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75391">
        <w:rPr>
          <w:noProof/>
          <w:lang w:val="ro-RO"/>
        </w:rPr>
        <w:drawing>
          <wp:inline distT="0" distB="0" distL="0" distR="0" wp14:anchorId="6797FFCB" wp14:editId="4D3CFB64">
            <wp:extent cx="5940425" cy="3706973"/>
            <wp:effectExtent l="0" t="0" r="3175" b="8255"/>
            <wp:docPr id="2" name="Рисунок 2" descr="https://i2.wp.com/agu.life/media/res/4/5/1/2/3/45123.p33y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agu.life/media/res/4/5/1/2/3/45123.p33y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27" w:rsidRPr="00F75391" w:rsidRDefault="00F61627">
      <w:pPr>
        <w:rPr>
          <w:lang w:val="ro-RO"/>
        </w:rPr>
      </w:pPr>
    </w:p>
    <w:sectPr w:rsidR="00F61627" w:rsidRPr="00F7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27"/>
    <w:rsid w:val="00134ED2"/>
    <w:rsid w:val="006F239A"/>
    <w:rsid w:val="00F61627"/>
    <w:rsid w:val="00F75391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1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1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36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Ludmila</cp:lastModifiedBy>
  <cp:revision>9</cp:revision>
  <dcterms:created xsi:type="dcterms:W3CDTF">2021-03-26T06:33:00Z</dcterms:created>
  <dcterms:modified xsi:type="dcterms:W3CDTF">2021-03-26T06:39:00Z</dcterms:modified>
</cp:coreProperties>
</file>