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5A9" w:rsidRPr="00290714" w:rsidRDefault="00AD05A9" w:rsidP="00AD05A9">
      <w:pPr>
        <w:pStyle w:val="Heading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ro-MD"/>
        </w:rPr>
      </w:pPr>
      <w:bookmarkStart w:id="0" w:name="_Toc449692118"/>
      <w:bookmarkStart w:id="1" w:name="_Toc390252621"/>
      <w:r w:rsidRPr="00290714">
        <w:rPr>
          <w:rFonts w:ascii="Times New Roman" w:hAnsi="Times New Roman"/>
          <w:bCs w:val="0"/>
          <w:color w:val="auto"/>
          <w:sz w:val="24"/>
          <w:szCs w:val="24"/>
          <w:lang w:val="ro-MD"/>
        </w:rPr>
        <w:t>CAIET DE SARCINI</w:t>
      </w:r>
      <w:bookmarkEnd w:id="0"/>
    </w:p>
    <w:p w:rsidR="00AD05A9" w:rsidRPr="00290714" w:rsidRDefault="00AD05A9" w:rsidP="00AD05A9">
      <w:pPr>
        <w:pStyle w:val="Heading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ro-MD"/>
        </w:rPr>
      </w:pPr>
      <w:r w:rsidRPr="00290714">
        <w:rPr>
          <w:rFonts w:ascii="Times New Roman" w:hAnsi="Times New Roman"/>
          <w:bCs w:val="0"/>
          <w:color w:val="auto"/>
          <w:sz w:val="24"/>
          <w:szCs w:val="24"/>
          <w:lang w:val="ro-MD"/>
        </w:rPr>
        <w:t xml:space="preserve"> </w:t>
      </w:r>
    </w:p>
    <w:p w:rsidR="00AD05A9" w:rsidRPr="00290714" w:rsidRDefault="00AD05A9" w:rsidP="00AD05A9">
      <w:pPr>
        <w:pStyle w:val="Heading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ro-MD"/>
        </w:rPr>
      </w:pPr>
      <w:r w:rsidRPr="00290714">
        <w:rPr>
          <w:rFonts w:ascii="Times New Roman" w:hAnsi="Times New Roman"/>
          <w:color w:val="auto"/>
          <w:sz w:val="24"/>
          <w:szCs w:val="24"/>
          <w:lang w:val="ro-MD"/>
        </w:rPr>
        <w:t>FORMULARUL DE DEVIZ NR.1 – LISTA CU CANTITĂȚILE DE LUCRĂRI</w:t>
      </w:r>
      <w:bookmarkEnd w:id="1"/>
    </w:p>
    <w:p w:rsidR="00AD05A9" w:rsidRPr="00290714" w:rsidRDefault="00AD05A9" w:rsidP="00AD05A9">
      <w:pPr>
        <w:ind w:right="567"/>
        <w:jc w:val="center"/>
        <w:rPr>
          <w:b/>
          <w:bCs/>
          <w:sz w:val="24"/>
          <w:szCs w:val="24"/>
          <w:lang w:val="ro-MD"/>
        </w:rPr>
      </w:pPr>
    </w:p>
    <w:p w:rsidR="00ED5814" w:rsidRPr="00ED5814" w:rsidRDefault="00AD05A9" w:rsidP="00ED5814">
      <w:pPr>
        <w:jc w:val="center"/>
        <w:rPr>
          <w:sz w:val="24"/>
          <w:szCs w:val="24"/>
          <w:u w:val="single"/>
          <w:lang w:val="ro-MD"/>
        </w:rPr>
      </w:pPr>
      <w:proofErr w:type="spellStart"/>
      <w:r w:rsidRPr="00290714">
        <w:rPr>
          <w:b/>
          <w:bCs/>
          <w:sz w:val="24"/>
          <w:szCs w:val="24"/>
          <w:lang w:val="en-US"/>
        </w:rPr>
        <w:t>Obiectul</w:t>
      </w:r>
      <w:proofErr w:type="spellEnd"/>
      <w:r w:rsidRPr="00290714">
        <w:rPr>
          <w:b/>
          <w:bCs/>
          <w:sz w:val="24"/>
          <w:szCs w:val="24"/>
          <w:lang w:val="en-US"/>
        </w:rPr>
        <w:t xml:space="preserve"> </w:t>
      </w:r>
      <w:r w:rsidR="00AD4C96">
        <w:rPr>
          <w:b/>
          <w:bCs/>
          <w:sz w:val="24"/>
          <w:szCs w:val="24"/>
          <w:lang w:val="en-US"/>
        </w:rPr>
        <w:t xml:space="preserve">  </w:t>
      </w:r>
      <w:bookmarkStart w:id="2" w:name="_Hlk117860536"/>
      <w:r w:rsidR="00ED5814" w:rsidRPr="00ED5814">
        <w:rPr>
          <w:b/>
          <w:sz w:val="24"/>
          <w:szCs w:val="24"/>
          <w:u w:val="single"/>
          <w:lang w:val="ro-MD"/>
        </w:rPr>
        <w:t>Lucrărilor privind racordarea la rețeaua centrală de apeduct a sensului giratoriu</w:t>
      </w:r>
      <w:bookmarkEnd w:id="2"/>
      <w:r w:rsidR="00ED5814" w:rsidRPr="00ED5814">
        <w:rPr>
          <w:b/>
          <w:sz w:val="24"/>
          <w:szCs w:val="24"/>
          <w:u w:val="single"/>
          <w:lang w:val="ro-MD"/>
        </w:rPr>
        <w:t xml:space="preserve"> </w:t>
      </w:r>
      <w:r w:rsidR="00ED5814" w:rsidRPr="00ED5814">
        <w:rPr>
          <w:b/>
          <w:bCs/>
          <w:sz w:val="24"/>
          <w:szCs w:val="24"/>
          <w:u w:val="single"/>
          <w:lang w:val="ro-MD"/>
        </w:rPr>
        <w:t>„Sensul giratoriu Cerc Circ”</w:t>
      </w:r>
      <w:r w:rsidR="00ED5814" w:rsidRPr="00ED5814">
        <w:rPr>
          <w:sz w:val="24"/>
          <w:szCs w:val="24"/>
          <w:u w:val="single"/>
          <w:lang w:val="ro-MD"/>
        </w:rPr>
        <w:t xml:space="preserve">                </w:t>
      </w:r>
    </w:p>
    <w:p w:rsidR="00ED5814" w:rsidRPr="00ED5814" w:rsidRDefault="00ED5814" w:rsidP="00ED5814">
      <w:pPr>
        <w:jc w:val="center"/>
        <w:rPr>
          <w:b/>
          <w:bCs/>
          <w:sz w:val="24"/>
          <w:szCs w:val="24"/>
          <w:u w:val="single"/>
          <w:lang w:val="ro-MD"/>
        </w:rPr>
      </w:pPr>
      <w:r w:rsidRPr="00ED5814">
        <w:rPr>
          <w:b/>
          <w:bCs/>
          <w:sz w:val="24"/>
          <w:szCs w:val="24"/>
          <w:u w:val="single"/>
          <w:lang w:val="ro-MD"/>
        </w:rPr>
        <w:t>Intersecțiile: str. Tudor Vladimirescu str. Grigore Vieru</w:t>
      </w:r>
    </w:p>
    <w:p w:rsidR="00AD05A9" w:rsidRPr="00290714" w:rsidRDefault="00AD05A9" w:rsidP="00ED5814">
      <w:pPr>
        <w:ind w:right="-209"/>
        <w:jc w:val="both"/>
        <w:rPr>
          <w:b/>
          <w:bCs/>
          <w:sz w:val="24"/>
          <w:szCs w:val="24"/>
          <w:lang w:val="ro-MD"/>
        </w:rPr>
      </w:pPr>
      <w:r w:rsidRPr="00290714">
        <w:rPr>
          <w:b/>
          <w:bCs/>
          <w:sz w:val="24"/>
          <w:szCs w:val="24"/>
          <w:lang w:val="ro-MD"/>
        </w:rPr>
        <w:t xml:space="preserve">Autoritatea contractantă    </w:t>
      </w:r>
      <w:r w:rsidRPr="00290714">
        <w:rPr>
          <w:b/>
          <w:bCs/>
          <w:sz w:val="24"/>
          <w:szCs w:val="24"/>
          <w:u w:val="single"/>
          <w:lang w:val="ro-MD"/>
        </w:rPr>
        <w:t>Î.M. „Asociația de Gospodărire a Spațiilor Verzi”, str. Pușkin 62</w:t>
      </w:r>
    </w:p>
    <w:p w:rsidR="00AD05A9" w:rsidRPr="00290714" w:rsidRDefault="00AD05A9" w:rsidP="00AD05A9">
      <w:pPr>
        <w:tabs>
          <w:tab w:val="left" w:pos="284"/>
          <w:tab w:val="right" w:pos="9531"/>
        </w:tabs>
        <w:spacing w:line="276" w:lineRule="auto"/>
        <w:rPr>
          <w:b/>
          <w:sz w:val="24"/>
          <w:szCs w:val="24"/>
          <w:lang w:val="ro-MD"/>
        </w:rPr>
      </w:pPr>
      <w:r w:rsidRPr="00290714">
        <w:rPr>
          <w:b/>
          <w:sz w:val="24"/>
          <w:szCs w:val="24"/>
          <w:lang w:val="ro-MD"/>
        </w:rPr>
        <w:t xml:space="preserve">                                                                              </w:t>
      </w:r>
      <w:r w:rsidRPr="00290714">
        <w:rPr>
          <w:i/>
          <w:sz w:val="24"/>
          <w:szCs w:val="24"/>
          <w:lang w:val="ro-MD"/>
        </w:rPr>
        <w:t>(denumirea, adresa)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EA36DA" w:rsidRPr="008B47FF" w:rsidTr="002B17F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   </w:t>
            </w: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EA36DA" w:rsidRPr="008B47FF" w:rsidRDefault="00EA36DA" w:rsidP="002B17F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A36DA" w:rsidRPr="006D228E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EA36DA" w:rsidRPr="008B47FF" w:rsidRDefault="00EA36DA" w:rsidP="00EA36DA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EA36DA" w:rsidRPr="008B47FF" w:rsidTr="002B17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A36DA" w:rsidRPr="008B47FF" w:rsidRDefault="00EA36DA" w:rsidP="002B17F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A36DA" w:rsidRPr="00027881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EA36DA" w:rsidRPr="008B47FF" w:rsidTr="002B17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6DA" w:rsidRPr="008B47FF" w:rsidRDefault="00EA36DA" w:rsidP="002B17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6DA" w:rsidRPr="008B47FF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2A14" w:rsidRDefault="004E2A14" w:rsidP="004E2A14">
            <w:pPr>
              <w:pStyle w:val="ListParagraph"/>
              <w:numPr>
                <w:ilvl w:val="0"/>
                <w:numId w:val="2"/>
              </w:numPr>
              <w:ind w:left="61" w:hanging="180"/>
              <w:rPr>
                <w:b/>
                <w:bCs/>
                <w:sz w:val="24"/>
                <w:szCs w:val="24"/>
                <w:lang w:val="ro-MD"/>
              </w:rPr>
            </w:pPr>
            <w:r w:rsidRPr="004E2A14">
              <w:rPr>
                <w:b/>
                <w:bCs/>
                <w:sz w:val="24"/>
                <w:szCs w:val="24"/>
                <w:lang w:val="ro-MD"/>
              </w:rPr>
              <w:t xml:space="preserve">„Sensul giratoriu Cerc Circ”             </w:t>
            </w:r>
          </w:p>
          <w:p w:rsidR="00EA36DA" w:rsidRPr="00ED5814" w:rsidRDefault="004E2A14" w:rsidP="00ED5814">
            <w:pPr>
              <w:ind w:left="-119"/>
              <w:rPr>
                <w:b/>
                <w:bCs/>
                <w:sz w:val="24"/>
                <w:szCs w:val="24"/>
                <w:lang w:val="ro-MD"/>
              </w:rPr>
            </w:pPr>
            <w:r w:rsidRPr="004E2A14">
              <w:rPr>
                <w:b/>
                <w:bCs/>
                <w:sz w:val="24"/>
                <w:szCs w:val="24"/>
                <w:lang w:val="ro-MD"/>
              </w:rPr>
              <w:t>Intersecțiile:</w:t>
            </w:r>
            <w:r w:rsidRPr="004E2A14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E2A14">
              <w:rPr>
                <w:b/>
                <w:bCs/>
                <w:sz w:val="24"/>
                <w:szCs w:val="24"/>
                <w:lang w:val="ro-MD"/>
              </w:rPr>
              <w:t>str. Tudor Vladimirescu str. Grigore Vieru</w:t>
            </w: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GD60A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instalatiei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foraj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largitoarelor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125 mm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GD59A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Pozarea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protectie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foraj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orizontal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dirijat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(FOD),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normal,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90 mm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120,0000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AcA53B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fitingurilor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electrofuziune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Imbinarea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sudura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tip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electrofuziune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teava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fiting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mufe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cot)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polietilena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tevii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75, 90 mm.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Piesa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bransare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110x50 mm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TsC02A1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excavator pe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0,21-0,39 mc,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I.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0,3000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TsA02B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limitate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sub 1,00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peste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latime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sprijiniri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vertical,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subsoluri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drenuri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trepte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infratire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necoeziv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slab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coeziv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adincime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&lt; 0,75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mijlociu</w:t>
            </w:r>
            <w:proofErr w:type="spellEnd"/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7,0000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AcE13A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subterana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:rsidR="00EA36DA" w:rsidRPr="00B40365" w:rsidRDefault="00EA36DA" w:rsidP="002B17FD">
            <w:pPr>
              <w:rPr>
                <w:sz w:val="16"/>
                <w:szCs w:val="16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Material </w:t>
            </w:r>
            <w:proofErr w:type="spellStart"/>
            <w:proofErr w:type="gramStart"/>
            <w:r w:rsidRPr="00B40365">
              <w:rPr>
                <w:sz w:val="16"/>
                <w:szCs w:val="16"/>
                <w:lang w:val="en-US"/>
              </w:rPr>
              <w:t>marunt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proofErr w:type="gramEnd"/>
            <w:r w:rsidRPr="00B40365">
              <w:rPr>
                <w:sz w:val="16"/>
                <w:szCs w:val="16"/>
                <w:lang w:val="en-US"/>
              </w:rPr>
              <w:t>scoabe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40365">
              <w:rPr>
                <w:sz w:val="16"/>
                <w:szCs w:val="16"/>
                <w:lang w:val="en-US"/>
              </w:rPr>
              <w:t>apa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>)=1,0070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3,6000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AcE13A1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ale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1,0 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subterana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reazem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КЦО-1(0,02 m3) - 3 </w:t>
            </w: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</w:t>
            </w:r>
            <w:proofErr w:type="spellEnd"/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pt.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КЦ-10-9 (0,24 m3) - 3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prefabricate pt.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КЦП1-10-1(0,10 m3) - 3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Capacul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plastic- 3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3,0000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AcE14A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1,5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subterana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:rsidR="00EA36DA" w:rsidRPr="00B40365" w:rsidRDefault="00EA36DA" w:rsidP="002B17FD">
            <w:pPr>
              <w:rPr>
                <w:sz w:val="16"/>
                <w:szCs w:val="16"/>
                <w:lang w:val="en-US"/>
              </w:rPr>
            </w:pPr>
            <w:r w:rsidRPr="00B40365">
              <w:rPr>
                <w:sz w:val="16"/>
                <w:szCs w:val="16"/>
                <w:lang w:val="en-US"/>
              </w:rPr>
              <w:t xml:space="preserve">Material </w:t>
            </w:r>
            <w:proofErr w:type="spellStart"/>
            <w:proofErr w:type="gramStart"/>
            <w:r w:rsidRPr="00B40365">
              <w:rPr>
                <w:sz w:val="16"/>
                <w:szCs w:val="16"/>
                <w:lang w:val="en-US"/>
              </w:rPr>
              <w:t>marunt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proofErr w:type="gramEnd"/>
            <w:r w:rsidRPr="00B40365">
              <w:rPr>
                <w:sz w:val="16"/>
                <w:szCs w:val="16"/>
                <w:lang w:val="en-US"/>
              </w:rPr>
              <w:t>scoabe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40365">
              <w:rPr>
                <w:sz w:val="16"/>
                <w:szCs w:val="16"/>
                <w:lang w:val="en-US"/>
              </w:rPr>
              <w:t>apa</w:t>
            </w:r>
            <w:proofErr w:type="spellEnd"/>
            <w:r w:rsidRPr="00B40365">
              <w:rPr>
                <w:sz w:val="16"/>
                <w:szCs w:val="16"/>
                <w:lang w:val="en-US"/>
              </w:rPr>
              <w:t>)=1,0060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5,0000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AcE14A1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ale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)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1,5 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subterana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reazem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КЦО-1(0,02 m3) - 2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prefabricat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pt.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camine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КЦ-15-9 (0,4 m3) - 2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Capacul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plastic - 2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2,0000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TsD01A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lopata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afinat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uniforme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de 10-30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printr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aruncare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pina la 3 m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gramezi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sfarimarea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bulgarilor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provenind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usor</w:t>
            </w:r>
            <w:proofErr w:type="spellEnd"/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20,0000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TsD04A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maiul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mina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umpluturilor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orizontale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inclinate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1/4,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udarea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fiecarui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10 cm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grosime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necoeziv</w:t>
            </w:r>
            <w:proofErr w:type="spellEnd"/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20,0000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AcF12A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Proba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presiune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polietilena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transee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retelele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alimentare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diametru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pina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la 100 mm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120,0000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TsH92B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auto sol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12,0000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36DA" w:rsidRPr="008B47FF" w:rsidTr="002B17F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TsI50A10</w:t>
            </w:r>
          </w:p>
          <w:p w:rsidR="00EA36DA" w:rsidRPr="008B47FF" w:rsidRDefault="00EA36DA" w:rsidP="002B17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10 km</w:t>
            </w:r>
          </w:p>
          <w:p w:rsidR="00EA36DA" w:rsidRPr="00B40365" w:rsidRDefault="00EA36DA" w:rsidP="002B1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A" w:rsidRPr="008B47FF" w:rsidRDefault="00EA36DA" w:rsidP="002B17FD">
            <w:pPr>
              <w:adjustRightInd w:val="0"/>
              <w:jc w:val="center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B47FF">
              <w:rPr>
                <w:rFonts w:ascii="Arial CYR" w:hAnsi="Arial CYR" w:cs="Arial CYR"/>
                <w:sz w:val="24"/>
                <w:szCs w:val="24"/>
                <w:lang w:val="en-US"/>
              </w:rPr>
              <w:t>12,0000</w:t>
            </w:r>
          </w:p>
          <w:p w:rsidR="00EA36DA" w:rsidRPr="008B47FF" w:rsidRDefault="00EA36DA" w:rsidP="002B17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A36DA" w:rsidRDefault="00EA36DA" w:rsidP="00EA36DA"/>
    <w:p w:rsidR="00AD05A9" w:rsidRPr="00290714" w:rsidRDefault="00AD05A9" w:rsidP="00AD05A9">
      <w:pPr>
        <w:ind w:right="567"/>
        <w:rPr>
          <w:b/>
          <w:bCs/>
          <w:sz w:val="24"/>
          <w:szCs w:val="24"/>
          <w:lang w:val="en-US"/>
        </w:rPr>
      </w:pPr>
    </w:p>
    <w:p w:rsidR="00711D15" w:rsidRPr="00711D15" w:rsidRDefault="00711D15" w:rsidP="00711D1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sz w:val="24"/>
          <w:szCs w:val="24"/>
          <w:lang w:val="ro-MD"/>
        </w:rPr>
      </w:pPr>
      <w:r>
        <w:rPr>
          <w:b/>
          <w:lang w:val="ro-MD"/>
        </w:rPr>
        <w:t xml:space="preserve">      </w:t>
      </w:r>
      <w:r w:rsidRPr="00711D15">
        <w:rPr>
          <w:b/>
          <w:sz w:val="24"/>
          <w:szCs w:val="24"/>
          <w:lang w:val="ro-MD"/>
        </w:rPr>
        <w:t>Conducătorul grupului de lucru:  Victoria COVALI</w:t>
      </w:r>
      <w:r w:rsidRPr="00711D15">
        <w:rPr>
          <w:b/>
          <w:sz w:val="24"/>
          <w:szCs w:val="24"/>
          <w:shd w:val="clear" w:color="auto" w:fill="FFFFFF" w:themeFill="background1"/>
          <w:lang w:val="ro-MD"/>
        </w:rPr>
        <w:t xml:space="preserve">_________________ </w:t>
      </w:r>
    </w:p>
    <w:p w:rsidR="00711D15" w:rsidRPr="00711D15" w:rsidRDefault="00711D15" w:rsidP="00711D1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sz w:val="24"/>
          <w:szCs w:val="24"/>
          <w:lang w:val="ro-MD"/>
        </w:rPr>
      </w:pPr>
      <w:r w:rsidRPr="00711D15"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    L.Ș</w:t>
      </w:r>
    </w:p>
    <w:p w:rsidR="00F12C76" w:rsidRPr="0087535E" w:rsidRDefault="00F12C76" w:rsidP="006C0B77">
      <w:pPr>
        <w:ind w:firstLine="709"/>
        <w:jc w:val="both"/>
        <w:rPr>
          <w:sz w:val="24"/>
          <w:szCs w:val="24"/>
          <w:lang w:val="en-US"/>
        </w:rPr>
      </w:pPr>
    </w:p>
    <w:sectPr w:rsidR="00F12C76" w:rsidRPr="0087535E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9EC"/>
    <w:multiLevelType w:val="hybridMultilevel"/>
    <w:tmpl w:val="65223A0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338F"/>
    <w:multiLevelType w:val="hybridMultilevel"/>
    <w:tmpl w:val="591AC886"/>
    <w:lvl w:ilvl="0" w:tplc="61DCB2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96145">
    <w:abstractNumId w:val="1"/>
  </w:num>
  <w:num w:numId="2" w16cid:durableId="96608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9"/>
    <w:rsid w:val="00035F4A"/>
    <w:rsid w:val="00447E08"/>
    <w:rsid w:val="004E2A14"/>
    <w:rsid w:val="006C0B77"/>
    <w:rsid w:val="00711D15"/>
    <w:rsid w:val="008242FF"/>
    <w:rsid w:val="00870751"/>
    <w:rsid w:val="0087535E"/>
    <w:rsid w:val="00922C48"/>
    <w:rsid w:val="00A11D6B"/>
    <w:rsid w:val="00AD05A9"/>
    <w:rsid w:val="00AD4C96"/>
    <w:rsid w:val="00B915B7"/>
    <w:rsid w:val="00EA36DA"/>
    <w:rsid w:val="00EA59DF"/>
    <w:rsid w:val="00ED581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4A3C"/>
  <w15:chartTrackingRefBased/>
  <w15:docId w15:val="{A611ACAF-790F-4A6F-99F1-3A008B6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5A9"/>
    <w:pPr>
      <w:keepNext/>
      <w:keepLines/>
      <w:autoSpaceDE/>
      <w:autoSpaceDN/>
      <w:spacing w:before="200"/>
      <w:outlineLvl w:val="1"/>
    </w:pPr>
    <w:rPr>
      <w:rFonts w:ascii="Calibri Light" w:hAnsi="Calibri Light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5A9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4E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2022-10-28T12:05:00Z</dcterms:created>
  <dcterms:modified xsi:type="dcterms:W3CDTF">2022-11-03T14:35:00Z</dcterms:modified>
</cp:coreProperties>
</file>