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905CFA" w:rsidTr="00C97B7E">
        <w:trPr>
          <w:gridAfter w:val="1"/>
          <w:wAfter w:w="343" w:type="dxa"/>
          <w:trHeight w:val="685"/>
        </w:trPr>
        <w:tc>
          <w:tcPr>
            <w:tcW w:w="14671" w:type="dxa"/>
            <w:gridSpan w:val="9"/>
            <w:vAlign w:val="center"/>
          </w:tcPr>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b/>
                <w:sz w:val="20"/>
                <w:szCs w:val="20"/>
              </w:rPr>
              <w:br w:type="page"/>
            </w:r>
            <w:r w:rsidRPr="00905CFA">
              <w:rPr>
                <w:rFonts w:ascii="Times New Roman" w:eastAsia="Times New Roman" w:hAnsi="Times New Roman" w:cs="Times New Roman"/>
                <w:b/>
                <w:sz w:val="20"/>
                <w:szCs w:val="20"/>
                <w:lang w:val="ro-RO"/>
              </w:rPr>
              <w:br w:type="page"/>
            </w:r>
            <w:r w:rsidRPr="00905CFA">
              <w:rPr>
                <w:rFonts w:ascii="Times New Roman" w:eastAsia="Times New Roman" w:hAnsi="Times New Roman" w:cs="Times New Roman"/>
                <w:b/>
                <w:sz w:val="20"/>
                <w:szCs w:val="20"/>
              </w:rPr>
              <w:br w:type="page"/>
            </w:r>
            <w:r w:rsidRPr="00905CFA">
              <w:rPr>
                <w:rFonts w:ascii="Times New Roman" w:eastAsia="Times New Roman" w:hAnsi="Times New Roman" w:cs="Times New Roman"/>
                <w:b/>
                <w:sz w:val="20"/>
                <w:szCs w:val="20"/>
              </w:rPr>
              <w:br w:type="page"/>
            </w:r>
            <w:bookmarkStart w:id="0" w:name="_Toc356920194"/>
            <w:bookmarkStart w:id="1" w:name="_Toc449539095"/>
            <w:bookmarkStart w:id="2" w:name="_Toc392180206"/>
            <w:r w:rsidRPr="00905CFA">
              <w:rPr>
                <w:rFonts w:ascii="Times New Roman" w:eastAsia="Times New Roman" w:hAnsi="Times New Roman" w:cs="Times New Roman"/>
                <w:b/>
                <w:sz w:val="20"/>
                <w:szCs w:val="20"/>
              </w:rPr>
              <w:t xml:space="preserve">                                                                                                                                                                                                                                      </w:t>
            </w:r>
            <w:r w:rsidRPr="00905CFA">
              <w:rPr>
                <w:rFonts w:ascii="Times New Roman" w:eastAsia="Times New Roman" w:hAnsi="Times New Roman" w:cs="Times New Roman"/>
                <w:sz w:val="20"/>
                <w:szCs w:val="20"/>
                <w:lang w:val="it-IT"/>
              </w:rPr>
              <w:t>Anexa nr. 22</w:t>
            </w:r>
          </w:p>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sz w:val="20"/>
                <w:szCs w:val="20"/>
                <w:lang w:val="it-IT"/>
              </w:rPr>
              <w:t xml:space="preserve">                                                                                                                                                                                       la Documentația standard nr.115</w:t>
            </w:r>
          </w:p>
          <w:p w:rsidR="00215758" w:rsidRPr="00905CFA" w:rsidRDefault="008F7CD8">
            <w:pPr>
              <w:spacing w:after="0" w:line="240" w:lineRule="auto"/>
              <w:jc w:val="right"/>
              <w:rPr>
                <w:rFonts w:ascii="Times New Roman" w:eastAsia="Times New Roman" w:hAnsi="Times New Roman" w:cs="Times New Roman"/>
                <w:sz w:val="20"/>
                <w:szCs w:val="20"/>
                <w:lang w:val="it-IT"/>
              </w:rPr>
            </w:pPr>
            <w:r w:rsidRPr="00905CFA">
              <w:rPr>
                <w:rFonts w:ascii="Times New Roman" w:eastAsia="Times New Roman" w:hAnsi="Times New Roman" w:cs="Times New Roman"/>
                <w:sz w:val="20"/>
                <w:szCs w:val="20"/>
                <w:lang w:val="it-IT"/>
              </w:rPr>
              <w:t xml:space="preserve">                                                                                                                                                                             din “15” septembrie 2021</w:t>
            </w:r>
          </w:p>
          <w:p w:rsidR="00215758" w:rsidRPr="00905CFA" w:rsidRDefault="008F7CD8">
            <w:pPr>
              <w:keepNext/>
              <w:keepLines/>
              <w:spacing w:before="200" w:after="0" w:line="240" w:lineRule="auto"/>
              <w:jc w:val="center"/>
              <w:outlineLvl w:val="1"/>
              <w:rPr>
                <w:rFonts w:ascii="Times New Roman" w:eastAsia="Times New Roman" w:hAnsi="Times New Roman" w:cs="Times New Roman"/>
                <w:b/>
                <w:bCs/>
                <w:color w:val="5B9BD5"/>
                <w:sz w:val="20"/>
                <w:szCs w:val="20"/>
              </w:rPr>
            </w:pPr>
            <w:bookmarkStart w:id="3" w:name="_Hlk77771394"/>
            <w:r w:rsidRPr="00905CFA">
              <w:rPr>
                <w:rFonts w:ascii="Times New Roman" w:eastAsia="Times New Roman" w:hAnsi="Times New Roman" w:cs="Times New Roman"/>
                <w:b/>
                <w:bCs/>
                <w:color w:val="5B9BD5"/>
                <w:sz w:val="20"/>
                <w:szCs w:val="20"/>
                <w:lang w:val="ro-RO"/>
              </w:rPr>
              <w:t>Specificaţii tehnice</w:t>
            </w:r>
            <w:bookmarkEnd w:id="0"/>
            <w:bookmarkEnd w:id="1"/>
            <w:bookmarkEnd w:id="2"/>
            <w:bookmarkEnd w:id="3"/>
          </w:p>
        </w:tc>
      </w:tr>
      <w:tr w:rsidR="00215758" w:rsidRPr="00905CFA"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905CFA">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905CFA" w:rsidRDefault="008F7CD8">
                  <w:pPr>
                    <w:framePr w:hSpace="180" w:wrap="around" w:vAnchor="page" w:hAnchor="margin" w:xAlign="center" w:y="516"/>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i/>
                      <w:iCs/>
                      <w:sz w:val="20"/>
                      <w:szCs w:val="20"/>
                      <w:lang w:val="ro-RO"/>
                    </w:rPr>
                    <w:t>[Acest tabel va fi completat de către ofertant în coloanele 2, 3, 4, 6, 7, iar de către autoritatea contractantă – în coloanele 1, 5,]</w:t>
                  </w:r>
                </w:p>
              </w:tc>
            </w:tr>
          </w:tbl>
          <w:p w:rsidR="00215758" w:rsidRPr="00905CFA" w:rsidRDefault="00215758">
            <w:pPr>
              <w:spacing w:after="0" w:line="240" w:lineRule="auto"/>
              <w:jc w:val="center"/>
              <w:rPr>
                <w:rFonts w:ascii="Times New Roman" w:eastAsia="Times New Roman" w:hAnsi="Times New Roman" w:cs="Times New Roman"/>
                <w:sz w:val="20"/>
                <w:szCs w:val="20"/>
                <w:lang w:val="ro-RO"/>
              </w:rPr>
            </w:pPr>
          </w:p>
        </w:tc>
      </w:tr>
      <w:tr w:rsidR="00215758" w:rsidRPr="00905C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Numărul procedurii de achiziției : Informatia se poate gasi  în SIA RSAP</w:t>
            </w:r>
            <w:r w:rsidR="00042B5F" w:rsidRPr="00905CFA">
              <w:rPr>
                <w:rFonts w:ascii="Times New Roman" w:eastAsia="Times New Roman" w:hAnsi="Times New Roman" w:cs="Times New Roman"/>
                <w:sz w:val="20"/>
                <w:szCs w:val="20"/>
                <w:lang w:val="ro-RO"/>
              </w:rPr>
              <w:t xml:space="preserve"> </w:t>
            </w:r>
            <w:r w:rsidR="009B50EE">
              <w:t xml:space="preserve"> </w:t>
            </w:r>
            <w:r w:rsidR="009B50EE" w:rsidRPr="009B50EE">
              <w:rPr>
                <w:rFonts w:ascii="Times New Roman" w:eastAsia="Times New Roman" w:hAnsi="Times New Roman" w:cs="Times New Roman"/>
                <w:sz w:val="20"/>
                <w:szCs w:val="20"/>
                <w:lang w:val="ro-RO"/>
              </w:rPr>
              <w:t xml:space="preserve">ocds-b3wdp1-MD-1783668858989   </w:t>
            </w:r>
          </w:p>
        </w:tc>
      </w:tr>
      <w:tr w:rsidR="00215758" w:rsidRPr="00905C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8F7CD8" w:rsidP="00ED6BF7">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 xml:space="preserve">Obiectul achiziției: </w:t>
            </w:r>
            <w:r w:rsidRPr="00905CFA">
              <w:rPr>
                <w:rFonts w:ascii="Times New Roman" w:hAnsi="Times New Roman" w:cs="Times New Roman"/>
                <w:sz w:val="20"/>
                <w:szCs w:val="20"/>
              </w:rPr>
              <w:t xml:space="preserve">  </w:t>
            </w:r>
            <w:r w:rsidRPr="00905CFA">
              <w:rPr>
                <w:rFonts w:ascii="Times New Roman" w:hAnsi="Times New Roman" w:cs="Times New Roman"/>
                <w:b/>
                <w:bCs/>
                <w:sz w:val="20"/>
                <w:szCs w:val="20"/>
              </w:rPr>
              <w:t xml:space="preserve">  </w:t>
            </w:r>
            <w:r w:rsidRPr="00905CFA">
              <w:rPr>
                <w:rFonts w:ascii="Times New Roman" w:eastAsia="Times New Roman" w:hAnsi="Times New Roman" w:cs="Times New Roman"/>
                <w:b/>
                <w:bCs/>
                <w:sz w:val="20"/>
                <w:szCs w:val="20"/>
                <w:lang w:val="ro-RO"/>
              </w:rPr>
              <w:t xml:space="preserve">   </w:t>
            </w:r>
            <w:r w:rsidR="005F4378" w:rsidRPr="00905CFA">
              <w:rPr>
                <w:rFonts w:ascii="Times New Roman" w:hAnsi="Times New Roman" w:cs="Times New Roman"/>
                <w:sz w:val="20"/>
                <w:szCs w:val="20"/>
              </w:rPr>
              <w:t xml:space="preserve"> </w:t>
            </w:r>
            <w:r w:rsidR="002265C2" w:rsidRPr="00905CFA">
              <w:rPr>
                <w:rFonts w:ascii="Times New Roman" w:hAnsi="Times New Roman" w:cs="Times New Roman"/>
                <w:sz w:val="20"/>
                <w:szCs w:val="20"/>
              </w:rPr>
              <w:t xml:space="preserve"> </w:t>
            </w:r>
            <w:r w:rsidR="00F97E92" w:rsidRPr="00905CFA">
              <w:rPr>
                <w:rFonts w:ascii="Times New Roman" w:hAnsi="Times New Roman" w:cs="Times New Roman"/>
                <w:sz w:val="20"/>
                <w:szCs w:val="20"/>
              </w:rPr>
              <w:t xml:space="preserve"> </w:t>
            </w:r>
            <w:r w:rsidR="00ED6BF7" w:rsidRPr="00905CFA">
              <w:rPr>
                <w:rFonts w:ascii="Times New Roman" w:hAnsi="Times New Roman" w:cs="Times New Roman"/>
                <w:sz w:val="20"/>
                <w:szCs w:val="20"/>
              </w:rPr>
              <w:t xml:space="preserve"> </w:t>
            </w:r>
            <w:r w:rsidR="004C0B45" w:rsidRPr="00905CFA">
              <w:rPr>
                <w:rFonts w:ascii="Times New Roman" w:hAnsi="Times New Roman" w:cs="Times New Roman"/>
                <w:sz w:val="20"/>
                <w:szCs w:val="20"/>
              </w:rPr>
              <w:t xml:space="preserve"> </w:t>
            </w:r>
            <w:r w:rsidR="004C0B45" w:rsidRPr="00905CFA">
              <w:rPr>
                <w:rFonts w:ascii="Times New Roman" w:eastAsia="Times New Roman" w:hAnsi="Times New Roman" w:cs="Times New Roman"/>
                <w:b/>
                <w:bCs/>
                <w:sz w:val="20"/>
                <w:szCs w:val="20"/>
                <w:lang w:val="ro-RO"/>
              </w:rPr>
              <w:t>Servicii de organizare și desfășurare a evenimentului „Wine of Moldova” în Londra, Marea Britanie</w:t>
            </w:r>
            <w:r w:rsidR="00ED6BF7" w:rsidRPr="00905CFA">
              <w:rPr>
                <w:rFonts w:ascii="Times New Roman" w:eastAsia="Times New Roman" w:hAnsi="Times New Roman" w:cs="Times New Roman"/>
                <w:b/>
                <w:bCs/>
                <w:sz w:val="20"/>
                <w:szCs w:val="20"/>
                <w:lang w:val="ro-RO"/>
              </w:rPr>
              <w:t>.</w:t>
            </w:r>
          </w:p>
        </w:tc>
      </w:tr>
      <w:tr w:rsidR="00215758" w:rsidRPr="00905CFA"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Specificarea tehnică deplină solicitată de către autoritatea contractantă</w:t>
            </w:r>
          </w:p>
          <w:p w:rsidR="00215758" w:rsidRPr="00905CFA" w:rsidRDefault="00215758">
            <w:pPr>
              <w:spacing w:after="0" w:line="240" w:lineRule="auto"/>
              <w:jc w:val="center"/>
              <w:rPr>
                <w:rFonts w:ascii="Times New Roman" w:eastAsia="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highlight w:val="yellow"/>
                <w:lang w:val="ro-RO"/>
              </w:rPr>
              <w:t>Specificarea tehnică deplină propusă de către ofertant</w:t>
            </w:r>
          </w:p>
          <w:p w:rsidR="00215758" w:rsidRPr="00905CFA" w:rsidRDefault="00215758">
            <w:pPr>
              <w:spacing w:after="0" w:line="240" w:lineRule="auto"/>
              <w:jc w:val="center"/>
              <w:rPr>
                <w:rFonts w:ascii="Times New Roman" w:eastAsia="Times New Roman" w:hAnsi="Times New Roman" w:cs="Times New Roman"/>
                <w:b/>
                <w:sz w:val="20"/>
                <w:szCs w:val="20"/>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Standarde de referinţă</w:t>
            </w:r>
          </w:p>
        </w:tc>
      </w:tr>
      <w:tr w:rsidR="00215758" w:rsidRPr="00905CFA"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jc w:val="center"/>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7</w:t>
            </w:r>
          </w:p>
        </w:tc>
      </w:tr>
      <w:tr w:rsidR="00215758" w:rsidRPr="00905CFA"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05CFA" w:rsidRDefault="008F7CD8">
            <w:pPr>
              <w:spacing w:after="0" w:line="240" w:lineRule="auto"/>
              <w:rPr>
                <w:rFonts w:ascii="Times New Roman" w:eastAsia="Times New Roman" w:hAnsi="Times New Roman" w:cs="Times New Roman"/>
                <w:b/>
                <w:sz w:val="20"/>
                <w:szCs w:val="20"/>
                <w:lang w:val="ro-RO"/>
              </w:rPr>
            </w:pPr>
            <w:r w:rsidRPr="00905CFA">
              <w:rPr>
                <w:rFonts w:ascii="Times New Roman" w:eastAsia="Times New Roman" w:hAnsi="Times New Roman" w:cs="Times New Roman"/>
                <w:b/>
                <w:sz w:val="20"/>
                <w:szCs w:val="20"/>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05CFA" w:rsidRDefault="00215758">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05CFA" w:rsidRDefault="00215758">
            <w:pPr>
              <w:spacing w:after="0" w:line="240" w:lineRule="auto"/>
              <w:rPr>
                <w:rFonts w:ascii="Times New Roman" w:eastAsia="Times New Roman" w:hAnsi="Times New Roman" w:cs="Times New Roman"/>
                <w:sz w:val="20"/>
                <w:szCs w:val="20"/>
                <w:lang w:val="ro-RO"/>
              </w:rPr>
            </w:pPr>
          </w:p>
        </w:tc>
      </w:tr>
      <w:tr w:rsidR="00215758" w:rsidRPr="00905CFA" w:rsidTr="00C97B7E">
        <w:trPr>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05CFA" w:rsidRDefault="00215758" w:rsidP="00ED6BF7">
            <w:pPr>
              <w:spacing w:after="0" w:line="240" w:lineRule="auto"/>
              <w:jc w:val="center"/>
              <w:rPr>
                <w:rFonts w:ascii="Times New Roman" w:eastAsia="Times New Roman" w:hAnsi="Times New Roman" w:cs="Times New Roman"/>
                <w:b/>
                <w:bCs/>
                <w:sz w:val="20"/>
                <w:szCs w:val="20"/>
                <w:lang w:val="ro-RO"/>
              </w:rPr>
            </w:pPr>
          </w:p>
        </w:tc>
        <w:tc>
          <w:tcPr>
            <w:tcW w:w="343" w:type="dxa"/>
          </w:tcPr>
          <w:p w:rsidR="00215758" w:rsidRPr="00905CFA" w:rsidRDefault="00215758">
            <w:pPr>
              <w:spacing w:after="0" w:line="240" w:lineRule="auto"/>
              <w:rPr>
                <w:rFonts w:ascii="Times New Roman" w:hAnsi="Times New Roman" w:cs="Times New Roman"/>
                <w:sz w:val="20"/>
                <w:szCs w:val="20"/>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spacing w:before="120"/>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de închiriere locație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Prestatorul va asigura închirierea exclusivă a unei locații în centrul Londrei (Zonele 1–2), pentru organizarea unei degustări profesionale de vinuri (B2B) și a unui eveniment de networking (B2C).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Cerințe minime: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Capacitate minimă: 70 participanți pentru degustare și 70 participanți pentru evenimentul de seară;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Zonă dedicată pentru minimum 25 producători (20 vinării și 5 branduri de băuturi spirtoase);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 Spațiu pentru masterclass cu ecran LED/proiector, sonorizare și aproximativ 30 locuri;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Utilizare exclusivă a locației pe durata montării, desfășurării și demontării;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Infrastructură pentru servirea vinului (mese de degustare, gheață, scuipătoare etc.);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Acces logistic pentru încărcare/descărcare și depozitare;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Permisiunea utilizării furnizorilor externi de vinuri, branding, catering și divertisment;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Iluminat, Wi‑Fi, energie electrică și facilități AV;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Posibilitatea transformării spațiului din format degustare în format networking;</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 Servicii  de spălare a paharelor pe întreaga durată a evenimentului </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Prestatorul va prezenta minimum 3 opțiuni de locații. </w:t>
            </w:r>
            <w:r w:rsidRPr="00EF4D8A">
              <w:rPr>
                <w:rFonts w:ascii="Times New Roman" w:hAnsi="Times New Roman" w:cs="Times New Roman"/>
                <w:b/>
                <w:sz w:val="20"/>
                <w:szCs w:val="20"/>
                <w:lang w:val="ro-RO"/>
              </w:rPr>
              <w:t>Data estimativă: 21, 22, 23 sau 24 septembrie 2026</w:t>
            </w:r>
            <w:r w:rsidRPr="00905CFA">
              <w:rPr>
                <w:rFonts w:ascii="Times New Roman" w:hAnsi="Times New Roman" w:cs="Times New Roman"/>
                <w:sz w:val="20"/>
                <w:szCs w:val="20"/>
                <w:lang w:val="ro-RO"/>
              </w:rPr>
              <w:t xml:space="preserve">. Data finală va fi confirmată de ONVV. Locația </w:t>
            </w:r>
            <w:r>
              <w:rPr>
                <w:rFonts w:ascii="Times New Roman" w:hAnsi="Times New Roman" w:cs="Times New Roman"/>
                <w:sz w:val="20"/>
                <w:szCs w:val="20"/>
                <w:lang w:val="ro-RO"/>
              </w:rPr>
              <w:t xml:space="preserve">finală va fi aprobată de ONVV. </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rPr>
            </w:pPr>
            <w:r w:rsidRPr="00905CFA">
              <w:rPr>
                <w:rFonts w:ascii="Times New Roman" w:eastAsia="Times New Roman" w:hAnsi="Times New Roman" w:cs="Times New Roman"/>
                <w:color w:val="FF0000"/>
                <w:sz w:val="20"/>
                <w:szCs w:val="20"/>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color w:val="FF0000"/>
                <w:sz w:val="20"/>
                <w:szCs w:val="20"/>
              </w:rPr>
              <w:t>[ as e completa de OFERTANT dupa caz]</w:t>
            </w: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spacing w:before="120"/>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Închiriere echipamente pentru 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Închirierea completă a echipamentelor pentru un eveniment combinat de degustare profesională de vinuri, masterclass și eveniment de networking de seară, organizat la Londra.</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Echipamentele furnizate trebuie să fie suficiente pentru desfășurarea următoarelor formate de eveniment:</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Degustare profesională de tip walk-around pentru aproximativ 70–100 participanți, cu participarea a 25 de producători (20 de vinării și 5 branduri de băuturi spirtoase), distribuiți în două zone de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Sesiune de masterclass pentru aproximativ 30 de participanți așezați, incluzând degustarea a până la 9 vinuri per participant;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Eveniment de networking de seară în format recepție tip cocktail (standing reception), pentru aproximativ 70–150 de participanți.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Echipamentele trebuie să includă toate elementele necesare pentru buna desfășurare a evenimentului, inclusiv: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-pahare profesionale pentru degustarea vinului;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-scuipătoare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-frapiere/găleți pentru gheață;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-aprovizionare continuă cu gheață alimentară;</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-biscuiți pentru degustări;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-mese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-tejghele și stații de servire;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-precum și orice alt mobilier și echipament operațional necesar pentru organizarea corespunzătoare a evenimentului.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asigura compatibilitatea deplină a echipamentelor atât cu formatul evenimentului de zi, cât și cu cel al evenimentului de seară și va specifica în mod clar în ofertă toate cantitățile finale propuse.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de curățenie a locației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Prestarea serviciilor de curățenie a locației înainte, în timpul și după desfășurarea evenimentului, inclusiv colectarea și evacuarea deșeurilor, menținerea curățeniei în zonele destinate participanților, în zonele de degustare și în spațiile dedicate masterclass-urilor, precum și efectuarea curățeniei finale și readucerea locației la starea inițială, în conformitate cu cerințele locației.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 toate costurile aferente activităților de curățenie, inclusiv personalul, echipamentele, materialele consumabile și orice alte resurse necesare pentru desfășurarea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Suport pentru parteneriate media</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Coordonarea și implementarea parteneriatului media pentru promovarea evenimentului, înainte, în timpul și după desfășurarea acestuia.</w:t>
            </w:r>
          </w:p>
          <w:p w:rsidR="00985049" w:rsidRPr="00985049" w:rsidRDefault="00985049" w:rsidP="00985049">
            <w:pPr>
              <w:tabs>
                <w:tab w:val="left" w:pos="478"/>
              </w:tabs>
              <w:jc w:val="both"/>
              <w:rPr>
                <w:rFonts w:ascii="Times New Roman" w:hAnsi="Times New Roman" w:cs="Times New Roman"/>
                <w:sz w:val="20"/>
                <w:szCs w:val="20"/>
                <w:lang w:val="ro-RO"/>
              </w:rPr>
            </w:pP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Serviciul va include:</w:t>
            </w:r>
          </w:p>
          <w:p w:rsidR="00985049" w:rsidRPr="00985049" w:rsidRDefault="00985049" w:rsidP="00985049">
            <w:pPr>
              <w:tabs>
                <w:tab w:val="left" w:pos="478"/>
              </w:tabs>
              <w:jc w:val="both"/>
              <w:rPr>
                <w:rFonts w:ascii="Times New Roman" w:hAnsi="Times New Roman" w:cs="Times New Roman"/>
                <w:sz w:val="20"/>
                <w:szCs w:val="20"/>
                <w:lang w:val="ro-RO"/>
              </w:rPr>
            </w:pP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lastRenderedPageBreak/>
              <w:t>-Suport pentru elaborarea listei de invitați și recrutarea direcționată a participanților din sectorul profesional (trade)</w:t>
            </w: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-Suport pentru administrarea și promovare unei pagini online de înregistrare/înscriere pentru participanții la eveniment;</w:t>
            </w: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-Gestionarea înregistrării participanților la eveniment</w:t>
            </w: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-Realizarea și publicarea unui material editorial post-eveniment</w:t>
            </w:r>
          </w:p>
          <w:p w:rsidR="00985049" w:rsidRPr="00985049" w:rsidRDefault="00985049" w:rsidP="00985049">
            <w:pPr>
              <w:tabs>
                <w:tab w:val="left" w:pos="478"/>
              </w:tabs>
              <w:jc w:val="both"/>
              <w:rPr>
                <w:rFonts w:ascii="Times New Roman" w:hAnsi="Times New Roman" w:cs="Times New Roman"/>
                <w:sz w:val="20"/>
                <w:szCs w:val="20"/>
                <w:lang w:val="ro-RO"/>
              </w:rPr>
            </w:pP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Furnizorul va specifica în mod clar:;</w:t>
            </w:r>
          </w:p>
          <w:p w:rsidR="00985049" w:rsidRPr="00985049"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-Livrabilele care vor fi realizate;</w:t>
            </w:r>
          </w:p>
          <w:p w:rsidR="00905CFA" w:rsidRPr="00905CFA" w:rsidRDefault="00985049" w:rsidP="00985049">
            <w:pPr>
              <w:tabs>
                <w:tab w:val="left" w:pos="478"/>
              </w:tabs>
              <w:jc w:val="both"/>
              <w:rPr>
                <w:rFonts w:ascii="Times New Roman" w:hAnsi="Times New Roman" w:cs="Times New Roman"/>
                <w:sz w:val="20"/>
                <w:szCs w:val="20"/>
                <w:lang w:val="ro-RO"/>
              </w:rPr>
            </w:pPr>
            <w:r w:rsidRPr="00985049">
              <w:rPr>
                <w:rFonts w:ascii="Times New Roman" w:hAnsi="Times New Roman" w:cs="Times New Roman"/>
                <w:sz w:val="20"/>
                <w:szCs w:val="20"/>
                <w:lang w:val="ro-RO"/>
              </w:rPr>
              <w:t>-Calendarul activităților;</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de catering</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Prestarea serviciilor de catering pentru degustarea profesională desfășurată pe parcursul zilei (aproximativ 70 de participanți) și pentru evenimentul de networking organizat seara (până la aproximativ 60 de participanți).</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Pe parcursul zilei: canapé-uri / finger food.</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 cadrul evenimentului de seară: canapé-uri, bowl food și/sau platouri pentru servire comună (sharing platters), în format recepție cu participanți în picioare (standing reception).</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asigura:</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Opțiuni vegetariene (obligatoriu) și posibilitatea de a răspunde diferitelor cerințe alimentare și dietetice;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descrie conceptul meniului propus, planificarea porțiilor.</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Serviciile de tipărire a materialelor</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Producerea, tipărirea și livrarea materialelor branduite, a elementelor de semnalistică și a elementelor de decor și amenajare pentru evenimentul „Wine of Moldova”, în conformitate cu conceptul de campanie aprobat și cu ghidul de identitate vizuală.</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60 de broșuri de degustare pentru sesiunea de degustare de tip walk-around, destinate unui număr de 80–100 de participanți;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25 de panouri de identificare a producătorilor, câte unul pentru fiecare producător participant;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30–50 de fișe de degustare pentru sesiunea de masterclass;</w:t>
            </w:r>
          </w:p>
          <w:p w:rsid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bookmarkStart w:id="4" w:name="_GoBack"/>
            <w:bookmarkEnd w:id="4"/>
            <w:r w:rsidRPr="00905CFA">
              <w:rPr>
                <w:rFonts w:ascii="Times New Roman" w:hAnsi="Times New Roman" w:cs="Times New Roman"/>
                <w:sz w:val="20"/>
                <w:szCs w:val="20"/>
                <w:lang w:val="ro-RO"/>
              </w:rPr>
              <w:lastRenderedPageBreak/>
              <w:t>2. Semnalistică și branding pentru eveniment (cerințe minime)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1 banner tip roll-up de dimensiuni mari, personalizat cu identitatea vizuală a evenimentului, cu dimensiuni aproximative de 100 × 200 cm;</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Set complet de indicatoare direcționale și de orientare pentru ghidarea participanților în locație (minimum 2 unități amplasate în zonele-cheie), cu dimensiuni aproximative de 60 × 160 cm fiecare;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Aplicarea logo-urilor și a elementelor de identitate vizuală pe suprafețe din locație și alte suporturi de branding amplasate în principalele zone ale evenimentului, incluzând afișarea logo-urilor celor 25 de companii participante (aprox. 20 × 20 cm fiecare) pe panouri, autocolante, materiale tipărite sau alte elemente de semnalistică și branding.</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furniza:</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detaliată a tuturor materialelor de branding, semnalistică și decor propuse;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Cantitățile exacte, dimensiunile și specificațiile de producție pentru fiecare element;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Un plan clar de amplasare, care să indice locațiile în care vor fi instalate elementele de branding și decor;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Practici de producție sustenabile și materiale ecologice, acolo unde este posibil.</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Serviciile de creație și design</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Serviciile de creație și studio pentru evenimentul „Wine of Moldova”, în conformitate cu conceptul de campanie aprobat și Brandbook-ul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Dezvoltarea și adaptarea unui (1) concept creativ și a unei direcții vizuale pentru eveniment, supuse aprobării prealabile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Design și machetare pentru minimum:</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Broșurile de degustare (tasting booklets);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25 elemente de semnalizare pentru producători;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1 roll-up banner;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 2 indicatoare direcționale;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 1 panou sau sistem central de afișare a logo-urilor partenerilor/producătorilor;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Materiale destinate degustărilor și masterclass-urilor (tasting notes, tasting mats, tasting sheets etc.)</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Adaptarea și integrarea identității vizuale pentru afișarea logo-urilor celor 25 de companii participante pe toate materialele relevante;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Pregătirea fișierelor finale pentru tipar și producție, după aprobarea finală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2 runde de revizii pentru fiecare categorie principală de material sau până la obținerea aprobării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Toate conceptele creative, propunerile de design, machetele, materialele finale și elementele de branding vor fi prezentate spre examinare și aprobare ONVV înainte de producție, tipărire și instalare. Niciun material nu va fi produs sau amplasat fără aprobarea prealabilă a ONVV.</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trebuie să prezinte: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completă a livrabilelor creative incluse;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Procesul de aprobare și calendarul de dezvoltare a materialelor;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de revizii incluse și modalitatea de gestionare a modificărilor;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Calendarul de transmitere a materialelor către ONVV pentru aprobare.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Practici de producție sustenabile și materiale ecologice, unde este posibil.</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Formatul livrabilelor finale (editabil și needitabil) </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Toate materialele finale vor fi livrate către ONVV în format editabil și pregătit pentru producție/tipar, împreună cu versiunile finale în format PDF.</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Sesiuni de masterclass</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Două (2) sesiuni de masterclass, fiecare cu o durată de 1,5 ore, organizate pentru aproximativ 30 de participanți per sesiune.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operațională completă a ambelor sesiuni de masterclass;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Amenajarea sălii și organizarea locurilor pentru aproximativ 30 de participanți;</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tuturor materialelor și echipamentelor necesare pentru degustare;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Pregătirea și distribuirea fișelor de degustare și a materialelor-suport;</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serviciilor de servire și turnare a vinurilor pe durata sesiunilor;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 xml:space="preserve">Asigurarea suportului audio-video și tehnic, inclusiv ecran LED sau proiector, microfon, sistem de sonorizare, telecomandă pentru </w:t>
            </w:r>
            <w:r w:rsidRPr="00905CFA">
              <w:rPr>
                <w:rFonts w:ascii="Times New Roman" w:hAnsi="Times New Roman" w:cs="Times New Roman"/>
                <w:sz w:val="20"/>
                <w:szCs w:val="20"/>
                <w:lang w:val="ro-RO"/>
              </w:rPr>
              <w:lastRenderedPageBreak/>
              <w:t>prezentare (clicker), conectivitate pentru laptop și asistență tehnică la fața locului pe întreaga durată a sesiunilor;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Montarea și demontarea spațiului destinat masterclass-urilor înainte și după fiecare sesiune;</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Contractarea și coordonarea unui expert în vin, somelier, educator în domeniul vinului sau alt profesionist relevant din industrie, care va modera și susține sesiunile de masterclass;</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Asigurarea a minimum două (2) persoane de suport operațional care vor asista desfășurarea masterclass-urilor, inclusiv sprijin pentru pregătirea materialelor, servire, turnare și coordonare logistică pe durata sesiunilor.</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trebuie să prezinte:</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trei (3) propuneri de somelieri, educatori în domeniul vinului sau experți din industria vinului, calificați pentru susținerea masterclass-urilor, însoțite de scurte biografii, experiență relevantă și calificări profesionale, pentru examinarea și aprobarea prealabilă de către ONVV;</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Configurația operațională propusă pentru desfășurarea masterclass-urilor;</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Structura echipei implicate și responsabilitățile acesteia;</w:t>
            </w: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Lista detaliată a echipamentelor tehnice incluse în ofertă.</w:t>
            </w:r>
          </w:p>
          <w:p w:rsidR="00905CFA" w:rsidRPr="00905CFA" w:rsidRDefault="00905CFA" w:rsidP="00905CFA">
            <w:pPr>
              <w:tabs>
                <w:tab w:val="left" w:pos="478"/>
              </w:tabs>
              <w:jc w:val="both"/>
              <w:rPr>
                <w:rFonts w:ascii="Times New Roman" w:hAnsi="Times New Roman" w:cs="Times New Roman"/>
                <w:sz w:val="20"/>
                <w:szCs w:val="20"/>
                <w:lang w:val="ro-RO"/>
              </w:rPr>
            </w:pPr>
          </w:p>
          <w:p w:rsidR="00905CFA" w:rsidRPr="00905CFA" w:rsidRDefault="00905CFA" w:rsidP="00905CFA">
            <w:pPr>
              <w:tabs>
                <w:tab w:val="left" w:pos="478"/>
              </w:tabs>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Toți experții/somelierii propuși vor fi supuși aprobării prealabile a ONVV.</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Planificarea și servicii de  management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Planificarea și coordonarea integrală a evenimentului „Wine of Moldova”, incluzând degustarea de tip walk-around pentru profesioniști, sesiunile de masterclass și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include planificarea unui eveniment de tip walkaround, organizarea masterclass-urilor și a evenimentului de seară, precum și asigurarea locațiilor, a opțiunilor de catering, atragerea și confirmarea participanților din zona comercială (trade attendees), gestionarea tuturor furnizorilor și coordonarea tuturor părților implicate.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conceptului general al evenimentului și planificarea operațională;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Selectarea și coordonarea locațiilor, precum și programarea tuturor formatelor de eveniment;</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Elaborarea și gestionarea unui calendar detaliat al evenimentului și a unui plan complet de producție;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serviciilor de catering și a opțiunilor de alimentație, în conformitate cu cerințele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în recrutarea, confirmarea și coordonarea participanților din zona trade și a invitaților;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transversală a tuturor părților interesate și a echipelor operaționale implicate în desfășurarea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Managementul tuturor furnizorilor și asigurarea livrării conforme a serviciilor pe întreaga durată a proiectului.</w:t>
            </w:r>
          </w:p>
          <w:p w:rsidR="00905CFA" w:rsidRPr="00905CFA" w:rsidRDefault="00905CFA" w:rsidP="00905CFA">
            <w:pPr>
              <w:jc w:val="both"/>
              <w:rPr>
                <w:rFonts w:ascii="Times New Roman" w:hAnsi="Times New Roman" w:cs="Times New Roman"/>
                <w:sz w:val="20"/>
                <w:szCs w:val="20"/>
                <w:lang w:val="ro-RO"/>
              </w:rPr>
            </w:pP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Management și coordonare operațională în ziua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 și coordonare operațională la fața locului a evenimentului, incluzând inspecția prealabilă a locației (recce), supervizarea montajului, desfășurarea evenimentului și coordonarea activităților de demontare după încheierea acestuia.</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patru (4) membri ai echipei vor fi prezenți la fața locului pe toată durata montajului, desfășurării și demontării evenimentului.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Inspecția prealabilă a locației și suport pentru planificarea operațională;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Supravegherea activităților de montaj și demontaj;</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la fața locului a furnizorilor, părților interesate și personalului implicat în eveniment;</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Suport pentru sesiunile de degustare de tip walk-around și pentru evenimentul de networking de seară;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Întâmpinarea și asistența invitaților;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logisticii și a cerințelor operaționale pe întreaga durată a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Management operațional în timp real pe toată durata desfășurării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Servicii profesionale de somelieri pentru 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de servicii profesionale de somelieri pentru a sprijini producătorii pe durata evenimentului, inclusiv în cadrul degustării de tip walk-around pentru profesioniști și al sesiunilor de masterclass.</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4 somelieri profesioniști cu minimum 2 ani de experiență în industria vinului;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Suport acordat producătorilor în servirea vinului, turnarea acestuia și interacțiunea cu oaspeții;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Asistență în timpul desfășurării masterclass-urilor și în implicarea participanților;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Sprijin pentru coordonarea fluxului de degustare și respectarea standardelor de servire.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specifica:</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de somelieri propuși;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Profilurile profesionale și experiența relevantă;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Alocarea somelierilor pe formatele evenimentului (degustare trade, masterclass, eveniment de seară, unde este cazul).</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Taxă de corkage și băuturi răcoritoare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serviciilor de corkage și a alocației pentru băuturi răcoritoare pe durata evenimentului, acoperind atât degustarea de tip trade din timpul zilei, sesiunile de masterclass, cât și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Taxe de corkage și manipulare pentru toate vinurile și băuturile servite în cadrul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Furnizarea de apă plată (0,5L), minimum 70 de sticle.</w:t>
            </w:r>
          </w:p>
        </w:tc>
        <w:tc>
          <w:tcPr>
            <w:tcW w:w="4320" w:type="dxa"/>
            <w:tcBorders>
              <w:left w:val="single" w:sz="4" w:space="0" w:color="auto"/>
            </w:tcBorders>
          </w:tcPr>
          <w:p w:rsidR="00905CFA" w:rsidRPr="00905CFA" w:rsidRDefault="00905CFA" w:rsidP="00905CFA">
            <w:pPr>
              <w:jc w:val="center"/>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Logistică eveniment &amp; livrări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suportului logistic complet pentru eveniment, inclusiv transportul, livrările și mișcarea operațională a materialelor și echipamentelor.</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Închiriere van pentru transportul materialelor, echipamentelor și consumabilelor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logistică a livrărilor, ridicărilor și distribuției la fața locului;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Costuri de transport ale personalului și cheltuieli de transport local necesare pentru desfășurarea operațiunilor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Coordonarea activităților de încărcare și descărcare în locațiile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Gazdă eveniment / MC</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MC profesionist pentru evenimentul de networking de seară, responsabil pentru găzduire, întâmpinarea invitaților și asigurarea desfășurării fluente a programului.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Trebuie să aibă experiență în evenimente corporative internaționale sau în industria vinului.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Furnizorul va specifica profilul și experiența relevantă. Furnizorul va prezenta minimum 3 propuneri de candidați (3 opțiuni de gazdă) pentru selecția ONVV.</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DJ și echipamente tehnice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Prestarea unui set DJ pentru evenimentul de networking de seară, inclusiv furnizarea tuturor echipamentelor de sunet și configurarea tehnică necesară.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Performanță DJ de aproximativ 3 ore în cadrul evenimentului de seară;</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Sistem complet de sunet și echipamente tehnice (inclusiv boxe, consolă DJ și iluminat de bază, dacă este necesar pentru prestație);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Instalarea, operarea și demontarea tuturor echipamentelor DJ și de sunet.</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Furnizarea de activări suplimentare de divertisment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de activări suplimentare de divertisment pentru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va include un buget alocat pentru un concept de divertisment, precum muzicieni live, formații acustice sau alte tipuri de performanțe culturale sau experiențiale.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Zonă foto branduită</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Furnizarea unei activări foto branduite pentru evenimentul de networking de seară.</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Serviciul va include montajul, instalarea și demontarea completă a tuturor elementelor activării foto.</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Depozitare și logistică vinuri</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Recepționarea, transportul, depozitarea și livrarea loturilor consolidate de vin pentru eveniment.</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Serviciul include manipularea, asigurarea și depozitarea pe termen scurt în Londra, livrarea la locație înainte de montajul evenimentului, precum și suport pentru livrarea la fața locului.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Furnizorul va specifica procesul de depozitare, asigurarea și fluxul operațional de livrare.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de fotografie</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Fotograf profesionist pentru acoperirea integrală a evenimentului, atât pe parcursul activităților de zi, cât și al celor de seară. Include minimum 250 de fotografii editate profesional, precum și 15 fotografii reprezentative livrate în ziua evenimentului pentru utilizare imediată în comunicare și pe canalele de social media. Galeria finală de fotografii editate va fi livrată în termen de maximum 10 zile de la încheierea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t>Servicii video</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eastAsia="Calibri" w:hAnsi="Times New Roman" w:cs="Times New Roman"/>
                <w:color w:val="000000"/>
                <w:sz w:val="20"/>
                <w:szCs w:val="20"/>
                <w:lang w:val="ro-RO"/>
              </w:rPr>
            </w:pPr>
            <w:r w:rsidRPr="00905CFA">
              <w:rPr>
                <w:rFonts w:ascii="Times New Roman" w:eastAsia="Calibri" w:hAnsi="Times New Roman" w:cs="Times New Roman"/>
                <w:color w:val="000000"/>
                <w:sz w:val="20"/>
                <w:szCs w:val="20"/>
                <w:lang w:val="ro-RO"/>
              </w:rPr>
              <w:t xml:space="preserve">Videograf profesionist pentru realizarea materialelor video destinate comunicării și promovării evenimentului, inclusiv 1 videoclip principal (hero video) adaptat pentru platformele Instagram și LinkedIn. </w:t>
            </w:r>
            <w:r w:rsidRPr="00905CFA">
              <w:rPr>
                <w:rFonts w:ascii="Times New Roman" w:eastAsia="Calibri" w:hAnsi="Times New Roman" w:cs="Times New Roman"/>
                <w:color w:val="000000"/>
                <w:sz w:val="20"/>
                <w:szCs w:val="20"/>
                <w:lang w:val="ro-RO"/>
              </w:rPr>
              <w:lastRenderedPageBreak/>
              <w:t>Durata videoclipului: maximum 30 de secunde. Serviciul include realizarea unui videoclip recapitulativ de tip aftermovie, editarea materialului video și maximum 2 runde de revizuiri/modificări.</w:t>
            </w:r>
          </w:p>
          <w:p w:rsidR="00905CFA" w:rsidRPr="00905CFA" w:rsidRDefault="00905CFA" w:rsidP="00905CFA">
            <w:pPr>
              <w:jc w:val="both"/>
              <w:rPr>
                <w:rFonts w:ascii="Times New Roman" w:eastAsia="Calibri" w:hAnsi="Times New Roman" w:cs="Times New Roman"/>
                <w:color w:val="000000"/>
                <w:sz w:val="20"/>
                <w:szCs w:val="20"/>
                <w:lang w:val="ro-RO"/>
              </w:rPr>
            </w:pPr>
            <w:r w:rsidRPr="00905CFA">
              <w:rPr>
                <w:rFonts w:ascii="Times New Roman" w:eastAsia="Calibri" w:hAnsi="Times New Roman" w:cs="Times New Roman"/>
                <w:color w:val="000000"/>
                <w:sz w:val="20"/>
                <w:szCs w:val="20"/>
                <w:lang w:val="ro-RO"/>
              </w:rPr>
              <w:t>Toate materialele foto și video vor fi livrate în format digital, cu drepturi de utilizare nelimitate pentru ONVV în scopuri de promovare și comunicare.</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center"/>
              <w:rPr>
                <w:rFonts w:ascii="Times New Roman" w:hAnsi="Times New Roman" w:cs="Times New Roman"/>
                <w:i/>
                <w:sz w:val="20"/>
                <w:szCs w:val="20"/>
                <w:lang w:val="ro-RO"/>
              </w:rPr>
            </w:pPr>
            <w:r w:rsidRPr="00905CFA">
              <w:rPr>
                <w:rFonts w:ascii="Times New Roman" w:hAnsi="Times New Roman" w:cs="Times New Roman"/>
                <w:i/>
                <w:sz w:val="20"/>
                <w:szCs w:val="20"/>
                <w:lang w:val="ro-RO"/>
              </w:rPr>
              <w:lastRenderedPageBreak/>
              <w:t>Raport post-eveniment</w:t>
            </w:r>
          </w:p>
        </w:tc>
        <w:tc>
          <w:tcPr>
            <w:tcW w:w="945"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Elaborarea și transmiterea unui raport post-eveniment în format Word și PDF.</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Raportul va include: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Numărul și profilul participanților;</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Lista companiilor și produselor participante;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Estimarea consumului de vinuri și băuturi;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Rezumatul activităților și rezultatelor evenimentului;</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Concluzii și recomandări cheie;</w:t>
            </w: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Minimum 10 fotografii relevante din cadrul evenimentului.</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t>Raportul va fi bazat pe înregistrările de participare, informațiile expozanților, contribuțiile echipei de eveniment, activitățile de comunicare și datele disponibile privind vânzările sau consumul.</w:t>
            </w:r>
          </w:p>
          <w:p w:rsidR="00905CFA" w:rsidRPr="00905CFA" w:rsidRDefault="00905CFA" w:rsidP="00905CFA">
            <w:pPr>
              <w:jc w:val="both"/>
              <w:rPr>
                <w:rFonts w:ascii="Times New Roman" w:hAnsi="Times New Roman" w:cs="Times New Roman"/>
                <w:sz w:val="20"/>
                <w:szCs w:val="20"/>
                <w:lang w:val="ro-RO"/>
              </w:rPr>
            </w:pPr>
          </w:p>
          <w:p w:rsidR="00905CFA" w:rsidRPr="00905CFA" w:rsidRDefault="00905CFA" w:rsidP="00905CFA">
            <w:pPr>
              <w:jc w:val="both"/>
              <w:rPr>
                <w:rFonts w:ascii="Times New Roman" w:hAnsi="Times New Roman" w:cs="Times New Roman"/>
                <w:sz w:val="20"/>
                <w:szCs w:val="20"/>
                <w:lang w:val="ro-RO"/>
              </w:rPr>
            </w:pPr>
            <w:r w:rsidRPr="00905CFA">
              <w:rPr>
                <w:rFonts w:ascii="Times New Roman" w:hAnsi="Times New Roman" w:cs="Times New Roman"/>
                <w:sz w:val="20"/>
                <w:szCs w:val="20"/>
                <w:lang w:val="ro-RO"/>
              </w:rPr>
              <w:lastRenderedPageBreak/>
              <w:t>Termen de livrare: în termen de 10 zile lucrătoare de la încheierea evenimentului.</w:t>
            </w:r>
          </w:p>
        </w:tc>
        <w:tc>
          <w:tcPr>
            <w:tcW w:w="4320" w:type="dxa"/>
            <w:tcBorders>
              <w:top w:val="single" w:sz="4" w:space="0" w:color="auto"/>
              <w:left w:val="single" w:sz="4" w:space="0" w:color="auto"/>
              <w:bottom w:val="single" w:sz="4" w:space="0" w:color="auto"/>
              <w:right w:val="single" w:sz="4" w:space="0" w:color="auto"/>
            </w:tcBorders>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sz w:val="20"/>
                <w:szCs w:val="20"/>
                <w:lang w:val="ro-RO"/>
              </w:rPr>
            </w:pPr>
          </w:p>
        </w:tc>
      </w:tr>
      <w:tr w:rsidR="00905CFA" w:rsidRPr="00905CFA" w:rsidTr="00C97B7E">
        <w:trPr>
          <w:gridAfter w:val="1"/>
          <w:wAfter w:w="343" w:type="dxa"/>
          <w:trHeight w:val="390"/>
        </w:trPr>
        <w:tc>
          <w:tcPr>
            <w:tcW w:w="14671" w:type="dxa"/>
            <w:gridSpan w:val="9"/>
            <w:tcBorders>
              <w:top w:val="single" w:sz="4" w:space="0" w:color="auto"/>
            </w:tcBorders>
            <w:vAlign w:val="center"/>
          </w:tcPr>
          <w:p w:rsidR="00905CFA" w:rsidRPr="00905CFA" w:rsidRDefault="00905CFA" w:rsidP="00905CFA">
            <w:pPr>
              <w:tabs>
                <w:tab w:val="left" w:pos="6120"/>
              </w:tabs>
              <w:spacing w:after="0" w:line="240" w:lineRule="auto"/>
              <w:rPr>
                <w:rFonts w:ascii="Times New Roman" w:eastAsia="Times New Roman" w:hAnsi="Times New Roman" w:cs="Times New Roman"/>
                <w:b/>
                <w:bCs/>
                <w:color w:val="FF0000"/>
                <w:sz w:val="20"/>
                <w:szCs w:val="20"/>
                <w:lang w:val="ro-RO"/>
              </w:rPr>
            </w:pPr>
            <w:r w:rsidRPr="00905CFA">
              <w:rPr>
                <w:rFonts w:ascii="Times New Roman" w:eastAsia="Times New Roman" w:hAnsi="Times New Roman" w:cs="Times New Roman"/>
                <w:b/>
                <w:bCs/>
                <w:color w:val="FF0000"/>
                <w:sz w:val="20"/>
                <w:szCs w:val="20"/>
                <w:lang w:val="ro-RO"/>
              </w:rPr>
              <w:lastRenderedPageBreak/>
              <w:t>Notă: În cazul unor omisiuni și/sau erori de redactare, cerințele minime prevăzute în Anunțul de participare vor prevala asupra celor indicate în prezenta specificație tehnică.</w:t>
            </w:r>
          </w:p>
          <w:p w:rsidR="00905CFA" w:rsidRPr="00905CFA" w:rsidRDefault="00905CFA" w:rsidP="00905CFA">
            <w:pPr>
              <w:tabs>
                <w:tab w:val="left" w:pos="6120"/>
              </w:tabs>
              <w:spacing w:after="0" w:line="240" w:lineRule="auto"/>
              <w:rPr>
                <w:rFonts w:ascii="Times New Roman" w:eastAsia="Times New Roman" w:hAnsi="Times New Roman" w:cs="Times New Roman"/>
                <w:b/>
                <w:bCs/>
                <w:color w:val="FF0000"/>
                <w:sz w:val="20"/>
                <w:szCs w:val="20"/>
                <w:lang w:val="ro-RO"/>
              </w:rPr>
            </w:pPr>
          </w:p>
          <w:p w:rsidR="00905CFA" w:rsidRPr="00905CFA" w:rsidRDefault="00905CFA" w:rsidP="00905CFA">
            <w:pPr>
              <w:spacing w:after="0" w:line="240" w:lineRule="auto"/>
              <w:rPr>
                <w:rFonts w:ascii="Times New Roman" w:eastAsia="Times New Roman" w:hAnsi="Times New Roman" w:cs="Times New Roman"/>
                <w:sz w:val="20"/>
                <w:szCs w:val="20"/>
                <w:lang w:val="ro-RO"/>
              </w:rPr>
            </w:pPr>
            <w:r w:rsidRPr="00905CFA">
              <w:rPr>
                <w:rFonts w:ascii="Times New Roman" w:eastAsia="Times New Roman" w:hAnsi="Times New Roman" w:cs="Times New Roman"/>
                <w:sz w:val="20"/>
                <w:szCs w:val="20"/>
                <w:lang w:val="ro-RO"/>
              </w:rPr>
              <w:t>Semnat:_______________ Numele, Prenumele:_____________________________ În calitate de: ________________</w:t>
            </w:r>
          </w:p>
          <w:p w:rsidR="00905CFA" w:rsidRPr="00905CFA" w:rsidRDefault="00905CFA" w:rsidP="00905CFA">
            <w:pPr>
              <w:spacing w:after="0" w:line="240" w:lineRule="auto"/>
              <w:rPr>
                <w:rFonts w:ascii="Times New Roman" w:eastAsia="Times New Roman" w:hAnsi="Times New Roman" w:cs="Times New Roman"/>
                <w:sz w:val="20"/>
                <w:szCs w:val="20"/>
                <w:lang w:val="ro-RO"/>
              </w:rPr>
            </w:pPr>
          </w:p>
          <w:p w:rsidR="00905CFA" w:rsidRPr="00905CFA" w:rsidRDefault="00905CFA" w:rsidP="00905CFA">
            <w:pPr>
              <w:spacing w:after="0" w:line="240" w:lineRule="auto"/>
              <w:rPr>
                <w:rFonts w:ascii="Times New Roman" w:eastAsia="Times New Roman" w:hAnsi="Times New Roman" w:cs="Times New Roman"/>
                <w:bCs/>
                <w:iCs/>
                <w:sz w:val="20"/>
                <w:szCs w:val="20"/>
                <w:lang w:val="ro-RO"/>
              </w:rPr>
            </w:pPr>
            <w:r w:rsidRPr="00905CFA">
              <w:rPr>
                <w:rFonts w:ascii="Times New Roman" w:eastAsia="Times New Roman" w:hAnsi="Times New Roman" w:cs="Times New Roman"/>
                <w:bCs/>
                <w:iCs/>
                <w:sz w:val="20"/>
                <w:szCs w:val="20"/>
                <w:lang w:val="ro-RO"/>
              </w:rPr>
              <w:t>Prestatorul: _______________________ Adresa: __________________________</w:t>
            </w:r>
          </w:p>
          <w:p w:rsidR="00905CFA" w:rsidRPr="00905CFA" w:rsidRDefault="00905CFA" w:rsidP="00905CFA">
            <w:pPr>
              <w:spacing w:after="0" w:line="240" w:lineRule="auto"/>
              <w:rPr>
                <w:rFonts w:ascii="Times New Roman" w:eastAsia="Times New Roman" w:hAnsi="Times New Roman" w:cs="Times New Roman"/>
                <w:bCs/>
                <w:iCs/>
                <w:sz w:val="20"/>
                <w:szCs w:val="20"/>
                <w:lang w:val="ro-RO"/>
              </w:rPr>
            </w:pPr>
          </w:p>
        </w:tc>
      </w:tr>
      <w:tr w:rsidR="00905CFA" w:rsidRPr="00905CFA" w:rsidTr="00C97B7E">
        <w:trPr>
          <w:trHeight w:val="390"/>
        </w:trPr>
        <w:tc>
          <w:tcPr>
            <w:tcW w:w="2835" w:type="dxa"/>
            <w:gridSpan w:val="2"/>
            <w:tcBorders>
              <w:top w:val="single" w:sz="4" w:space="0" w:color="auto"/>
            </w:tcBorders>
          </w:tcPr>
          <w:p w:rsidR="00905CFA" w:rsidRPr="00905CFA" w:rsidRDefault="00905CFA" w:rsidP="00905CFA">
            <w:pPr>
              <w:tabs>
                <w:tab w:val="left" w:pos="6120"/>
              </w:tabs>
              <w:spacing w:after="0" w:line="240" w:lineRule="auto"/>
              <w:rPr>
                <w:rFonts w:ascii="Times New Roman" w:eastAsia="Times New Roman" w:hAnsi="Times New Roman" w:cs="Times New Roman"/>
                <w:sz w:val="20"/>
                <w:szCs w:val="20"/>
                <w:lang w:val="ro-RO"/>
              </w:rPr>
            </w:pPr>
          </w:p>
        </w:tc>
        <w:tc>
          <w:tcPr>
            <w:tcW w:w="236" w:type="dxa"/>
            <w:tcBorders>
              <w:top w:val="single" w:sz="4" w:space="0" w:color="auto"/>
            </w:tcBorders>
          </w:tcPr>
          <w:p w:rsidR="00905CFA" w:rsidRPr="00905CFA" w:rsidRDefault="00905CFA" w:rsidP="00905CFA">
            <w:pPr>
              <w:tabs>
                <w:tab w:val="left" w:pos="6120"/>
              </w:tabs>
              <w:spacing w:after="0" w:line="240" w:lineRule="auto"/>
              <w:rPr>
                <w:rFonts w:ascii="Times New Roman" w:eastAsia="Times New Roman" w:hAnsi="Times New Roman" w:cs="Times New Roman"/>
                <w:sz w:val="20"/>
                <w:szCs w:val="20"/>
                <w:lang w:val="ro-RO"/>
              </w:rPr>
            </w:pPr>
          </w:p>
        </w:tc>
        <w:tc>
          <w:tcPr>
            <w:tcW w:w="11943" w:type="dxa"/>
            <w:gridSpan w:val="7"/>
            <w:tcBorders>
              <w:top w:val="single" w:sz="4" w:space="0" w:color="auto"/>
            </w:tcBorders>
            <w:vAlign w:val="center"/>
          </w:tcPr>
          <w:p w:rsidR="00905CFA" w:rsidRPr="00905CFA" w:rsidRDefault="00905CFA" w:rsidP="00905CFA">
            <w:pPr>
              <w:spacing w:after="0" w:line="240" w:lineRule="auto"/>
              <w:rPr>
                <w:rFonts w:ascii="Times New Roman" w:eastAsia="Times New Roman" w:hAnsi="Times New Roman" w:cs="Times New Roman"/>
                <w:bCs/>
                <w:iCs/>
                <w:sz w:val="20"/>
                <w:szCs w:val="20"/>
                <w:lang w:val="ro-RO"/>
              </w:rPr>
            </w:pPr>
          </w:p>
        </w:tc>
      </w:tr>
    </w:tbl>
    <w:p w:rsidR="00215758" w:rsidRPr="00905CFA" w:rsidRDefault="00215758">
      <w:pPr>
        <w:rPr>
          <w:rFonts w:ascii="Times New Roman" w:hAnsi="Times New Roman" w:cs="Times New Roman"/>
          <w:sz w:val="20"/>
          <w:szCs w:val="20"/>
          <w:lang w:val="ro-RO"/>
        </w:rPr>
      </w:pPr>
    </w:p>
    <w:sectPr w:rsidR="00215758" w:rsidRPr="00905CF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44F" w:rsidRDefault="0008444F">
      <w:pPr>
        <w:spacing w:line="240" w:lineRule="auto"/>
      </w:pPr>
      <w:r>
        <w:separator/>
      </w:r>
    </w:p>
  </w:endnote>
  <w:endnote w:type="continuationSeparator" w:id="0">
    <w:p w:rsidR="0008444F" w:rsidRDefault="000844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44F" w:rsidRDefault="0008444F">
      <w:pPr>
        <w:spacing w:after="0"/>
      </w:pPr>
      <w:r>
        <w:separator/>
      </w:r>
    </w:p>
  </w:footnote>
  <w:footnote w:type="continuationSeparator" w:id="0">
    <w:p w:rsidR="0008444F" w:rsidRDefault="0008444F">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EC3B23"/>
    <w:multiLevelType w:val="multilevel"/>
    <w:tmpl w:val="C45EF44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755A48"/>
    <w:multiLevelType w:val="multilevel"/>
    <w:tmpl w:val="C9E8523C"/>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7"/>
  </w:num>
  <w:num w:numId="4">
    <w:abstractNumId w:val="5"/>
  </w:num>
  <w:num w:numId="5">
    <w:abstractNumId w:val="2"/>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42B5F"/>
    <w:rsid w:val="0005110A"/>
    <w:rsid w:val="00054783"/>
    <w:rsid w:val="000637C1"/>
    <w:rsid w:val="00081FF9"/>
    <w:rsid w:val="0008444F"/>
    <w:rsid w:val="0009001E"/>
    <w:rsid w:val="00092201"/>
    <w:rsid w:val="000A24ED"/>
    <w:rsid w:val="000E2701"/>
    <w:rsid w:val="00117CA2"/>
    <w:rsid w:val="001316B1"/>
    <w:rsid w:val="001445F5"/>
    <w:rsid w:val="00184E43"/>
    <w:rsid w:val="001A54B8"/>
    <w:rsid w:val="001A6933"/>
    <w:rsid w:val="001A74F6"/>
    <w:rsid w:val="001C5646"/>
    <w:rsid w:val="001F3B64"/>
    <w:rsid w:val="002069E9"/>
    <w:rsid w:val="00215758"/>
    <w:rsid w:val="00224D1D"/>
    <w:rsid w:val="002265C2"/>
    <w:rsid w:val="00245C9C"/>
    <w:rsid w:val="0026179F"/>
    <w:rsid w:val="00273D2B"/>
    <w:rsid w:val="00287CA7"/>
    <w:rsid w:val="002B0D1B"/>
    <w:rsid w:val="002B3259"/>
    <w:rsid w:val="002C0BE1"/>
    <w:rsid w:val="002C1288"/>
    <w:rsid w:val="002E1933"/>
    <w:rsid w:val="00310F40"/>
    <w:rsid w:val="003301D0"/>
    <w:rsid w:val="003463A1"/>
    <w:rsid w:val="0036444A"/>
    <w:rsid w:val="003A049B"/>
    <w:rsid w:val="003A528A"/>
    <w:rsid w:val="003D11AA"/>
    <w:rsid w:val="003F618A"/>
    <w:rsid w:val="00455B09"/>
    <w:rsid w:val="004B3197"/>
    <w:rsid w:val="004C0B45"/>
    <w:rsid w:val="004C309D"/>
    <w:rsid w:val="004F099F"/>
    <w:rsid w:val="004F6D46"/>
    <w:rsid w:val="00544D8B"/>
    <w:rsid w:val="00556428"/>
    <w:rsid w:val="005613AC"/>
    <w:rsid w:val="005F4378"/>
    <w:rsid w:val="00610D93"/>
    <w:rsid w:val="00675C48"/>
    <w:rsid w:val="006B1186"/>
    <w:rsid w:val="006B6C99"/>
    <w:rsid w:val="00756EF3"/>
    <w:rsid w:val="007629FE"/>
    <w:rsid w:val="00784AC1"/>
    <w:rsid w:val="00817242"/>
    <w:rsid w:val="00895ECE"/>
    <w:rsid w:val="008E60E6"/>
    <w:rsid w:val="008F7CD8"/>
    <w:rsid w:val="00905CFA"/>
    <w:rsid w:val="00921DB0"/>
    <w:rsid w:val="00935E6A"/>
    <w:rsid w:val="00940102"/>
    <w:rsid w:val="00941AE9"/>
    <w:rsid w:val="00985049"/>
    <w:rsid w:val="0099720D"/>
    <w:rsid w:val="009B50EE"/>
    <w:rsid w:val="009D08BE"/>
    <w:rsid w:val="00A85D92"/>
    <w:rsid w:val="00A91C38"/>
    <w:rsid w:val="00AA1768"/>
    <w:rsid w:val="00AA3133"/>
    <w:rsid w:val="00AB1254"/>
    <w:rsid w:val="00AF5A93"/>
    <w:rsid w:val="00B04D45"/>
    <w:rsid w:val="00B210C4"/>
    <w:rsid w:val="00B22632"/>
    <w:rsid w:val="00B6184E"/>
    <w:rsid w:val="00B873EC"/>
    <w:rsid w:val="00BB2381"/>
    <w:rsid w:val="00C0225D"/>
    <w:rsid w:val="00C22F49"/>
    <w:rsid w:val="00C71ED7"/>
    <w:rsid w:val="00C744E3"/>
    <w:rsid w:val="00C97B7E"/>
    <w:rsid w:val="00CB1E5D"/>
    <w:rsid w:val="00CC53CB"/>
    <w:rsid w:val="00CD4F5B"/>
    <w:rsid w:val="00D124C2"/>
    <w:rsid w:val="00D667D6"/>
    <w:rsid w:val="00D74849"/>
    <w:rsid w:val="00D938BA"/>
    <w:rsid w:val="00D9420A"/>
    <w:rsid w:val="00DB19EA"/>
    <w:rsid w:val="00DD1A7F"/>
    <w:rsid w:val="00E513B5"/>
    <w:rsid w:val="00E5162A"/>
    <w:rsid w:val="00E52239"/>
    <w:rsid w:val="00E60C25"/>
    <w:rsid w:val="00E73CCC"/>
    <w:rsid w:val="00EC2DDD"/>
    <w:rsid w:val="00ED6BF7"/>
    <w:rsid w:val="00EF4D8A"/>
    <w:rsid w:val="00F26306"/>
    <w:rsid w:val="00F97E92"/>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5432"/>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BEE74-604D-45C8-B623-866D4E2E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20</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52</cp:revision>
  <dcterms:created xsi:type="dcterms:W3CDTF">2023-02-16T14:35:00Z</dcterms:created>
  <dcterms:modified xsi:type="dcterms:W3CDTF">2026-07-10T11:26:00Z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