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0017CFB2" w14:textId="77777777" w:rsidR="007E3F7E" w:rsidRDefault="007E3F7E" w:rsidP="00A74A0C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  <w:proofErr w:type="spellStart"/>
      <w:r w:rsidRPr="007E3F7E">
        <w:rPr>
          <w:rFonts w:ascii="Titillium" w:hAnsi="Titillium"/>
          <w:sz w:val="26"/>
          <w:szCs w:val="26"/>
          <w:lang w:val="en-US"/>
        </w:rPr>
        <w:t>Planificarea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,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managementul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și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guvernarea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afacerilor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sociale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>.</w:t>
      </w:r>
    </w:p>
    <w:p w14:paraId="256BAAD3" w14:textId="0B5612B1" w:rsidR="00836E23" w:rsidRPr="007E3F7E" w:rsidRDefault="007E3F7E" w:rsidP="00A74A0C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Îmbunătățirea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conceptelor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de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afaceri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și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de impact ale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întreprinderilor</w:t>
      </w:r>
      <w:proofErr w:type="spellEnd"/>
      <w:r w:rsidRPr="007E3F7E">
        <w:rPr>
          <w:rFonts w:ascii="Titillium" w:hAnsi="Titillium"/>
          <w:sz w:val="26"/>
          <w:szCs w:val="26"/>
          <w:lang w:val="en-US"/>
        </w:rPr>
        <w:t xml:space="preserve"> </w:t>
      </w:r>
      <w:proofErr w:type="spellStart"/>
      <w:r w:rsidRPr="007E3F7E">
        <w:rPr>
          <w:rFonts w:ascii="Titillium" w:hAnsi="Titillium"/>
          <w:sz w:val="26"/>
          <w:szCs w:val="26"/>
          <w:lang w:val="en-US"/>
        </w:rPr>
        <w:t>sociale</w:t>
      </w:r>
      <w:proofErr w:type="spellEnd"/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Ind w:w="-572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A74A0C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326A786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  <w:r w:rsidR="00AF391D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e</w:t>
            </w:r>
          </w:p>
        </w:tc>
      </w:tr>
      <w:tr w:rsidR="00322CF3" w:rsidRPr="007E3F7E" w14:paraId="6E200886" w14:textId="77777777" w:rsidTr="00A74A0C">
        <w:trPr>
          <w:trHeight w:val="4286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2E5A6A4C" w14:textId="77777777" w:rsidR="007E3F7E" w:rsidRDefault="007E3F7E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7AC6B47" w14:textId="77777777" w:rsidR="007E3F7E" w:rsidRDefault="007E3F7E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5DACC272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bookmarkStart w:id="0" w:name="_GoBack"/>
            <w:bookmarkEnd w:id="0"/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44F16A2D" w14:textId="77777777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BEBC47C" w14:textId="779D8DCF" w:rsid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1.Structura și procesele organizaționale, precum și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 xml:space="preserve">întrebări 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>p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ractice despre cum să gestionezi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responsabilitățile și participarea, probleme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exemplificate;</w:t>
            </w:r>
          </w:p>
          <w:p w14:paraId="72562419" w14:textId="77777777" w:rsidR="007E3F7E" w:rsidRP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EDDA01D" w14:textId="6DB3D47B" w:rsid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2.Cum diferă întreprinderile sociale;</w:t>
            </w:r>
          </w:p>
          <w:p w14:paraId="26EB6733" w14:textId="77777777" w:rsidR="007E3F7E" w:rsidRP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94ABA26" w14:textId="4B665C4B" w:rsid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3.Elaborarea și îmbunătățirea conceptelor de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afaceri și de impact ale întreprinderilor sociale;</w:t>
            </w:r>
          </w:p>
          <w:p w14:paraId="30EF81AA" w14:textId="77777777" w:rsidR="007E3F7E" w:rsidRP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0707E71" w14:textId="3DBC0754" w:rsid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4.Management, guvernare și structuri juridice din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perspective fondator și investitor;</w:t>
            </w:r>
          </w:p>
          <w:p w14:paraId="7171F163" w14:textId="77777777" w:rsidR="007E3F7E" w:rsidRP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56AFA97D" w14:textId="3B4654EE" w:rsid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5.Modele de afaceri ale unei întreprinderi;</w:t>
            </w:r>
          </w:p>
          <w:p w14:paraId="143512F1" w14:textId="77777777" w:rsidR="007E3F7E" w:rsidRP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7DEAE912" w14:textId="381AA6CE" w:rsidR="007E3F7E" w:rsidRP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6.Îmbunătățirea conceptului privind solicitarea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finanțărilor;</w:t>
            </w:r>
          </w:p>
          <w:p w14:paraId="37FC5E09" w14:textId="58501C77" w:rsidR="007E3F7E" w:rsidRPr="007E3F7E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431F91C" w14:textId="77777777" w:rsidR="00322CF3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7.Recomandări în ceea ce privește formele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7E3F7E">
              <w:rPr>
                <w:rFonts w:ascii="Titillium" w:hAnsi="Titillium"/>
                <w:sz w:val="26"/>
                <w:szCs w:val="26"/>
                <w:lang w:val="ro-RO"/>
              </w:rPr>
              <w:t>juridice, managementul si gestionarea afacerii</w:t>
            </w:r>
          </w:p>
          <w:p w14:paraId="6889160E" w14:textId="2F35F62D" w:rsidR="007E3F7E" w:rsidRPr="00352FC1" w:rsidRDefault="007E3F7E" w:rsidP="007E3F7E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836E23" w:rsidRDefault="0092330E" w:rsidP="00352FC1">
      <w:pPr>
        <w:spacing w:after="0"/>
        <w:rPr>
          <w:rFonts w:ascii="Titillium" w:hAnsi="Titillium"/>
          <w:sz w:val="26"/>
          <w:szCs w:val="26"/>
          <w:lang w:val="ro-RO"/>
        </w:rPr>
      </w:pPr>
    </w:p>
    <w:sectPr w:rsidR="0092330E" w:rsidRPr="00836E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322CF3"/>
    <w:rsid w:val="00327CFB"/>
    <w:rsid w:val="00352FC1"/>
    <w:rsid w:val="00507CF9"/>
    <w:rsid w:val="006C0B77"/>
    <w:rsid w:val="007E3F7E"/>
    <w:rsid w:val="008242FF"/>
    <w:rsid w:val="00836E23"/>
    <w:rsid w:val="00870751"/>
    <w:rsid w:val="00922C48"/>
    <w:rsid w:val="0092330E"/>
    <w:rsid w:val="00A74A0C"/>
    <w:rsid w:val="00A75AF3"/>
    <w:rsid w:val="00AF391D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E3336F-F45B-4F97-923B-AA1C15890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9</cp:revision>
  <cp:lastPrinted>2021-09-24T01:55:00Z</cp:lastPrinted>
  <dcterms:created xsi:type="dcterms:W3CDTF">2021-09-24T01:56:00Z</dcterms:created>
  <dcterms:modified xsi:type="dcterms:W3CDTF">2021-09-24T06:35:00Z</dcterms:modified>
</cp:coreProperties>
</file>