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reparatii curente (intretinerea periodica) a strazilor prin or. Floresti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str.Miron Costin nr. 9A, 11, str. A. Mateevici nr. 33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308,11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308,11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462,17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3,08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Desfacerea de borduri de piatra sau de  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330,00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27,70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27,70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14,67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2,20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sau reprofilare din agregate naturale concosate cu rezistenta la fragmentare LA 30, (clas de de granulozitate 11,2-22,4 mm,31,5-63mm), conform SR EN 13242+A1:2008,IDT, cu asternere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mecanica h-12 cm, executat cu 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176,06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0,88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BAD  22,4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1 467,20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BAD  22,4 leg.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0,44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1 467,20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13,38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334,50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66,90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Decofrol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50,17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75,26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3,35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Trotuare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2,11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0,32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8,8200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10,3900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concosate cu rezistenta la fragmentare LA 30, (clas de de granulozitate 11,2-22,4 mm), conform SR EN 13242+A1:2008,IDT H=10cm.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21,12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 cu rezistenta la fragmentare LA 30 clas de de granulozitate 0-5.6mm H=5 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10,56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grosimea 4 cm. asezate pe un strat din amestec uscat de ciment si agregate naturale  cu rezistenta la fragmentare LA 30 clas de de granulozitate 0-5.6mm, in proportie 1:6, rostuit cu amestec uscat de ciment si agregate naturale  cu rezistenta la fragmentare LA 30 clas de de granulozitate 0-3 mm, grosime strat de 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211,20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grosimea 4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0-3mm (pentru rosturi)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 (pentru strat)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mici, prefabricate din beton cu sectiunea de 75x20x8 (50x20x8) cm, pnetu incadrarea spatiilor verzi, trotuarelor, aleilor, etc., asezate pe o fundatie din beton, de 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200,00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750 x 200 x 80 (500x200x80)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Camine de vizitare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AcE08D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cu piesa-suport din beton armat, circulare sau patrate,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Mat. marunte (scinduri etc.)=1,01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2661126420769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Placa din beton 520 x 420 x 70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2952270007602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AcE07D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Montarea capacelor din fonta sau fonta-beton fara piesa-suport, la caminele de vizitare ale instalatiilor de alimentare cu apa si canalizare, carosabil tip 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Mat. marunte (scinduri etc.)=1,02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7129090010600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Drenor-canalist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2875274200000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Capac cu rama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20A0C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21B30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12777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81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1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2041</Words>
  <Characters>11639</Characters>
  <Application>Microsoft Office Word</Application>
  <DocSecurity>0</DocSecurity>
  <Lines>96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2</cp:revision>
  <dcterms:created xsi:type="dcterms:W3CDTF">2026-03-26T20:32:00Z</dcterms:created>
  <dcterms:modified xsi:type="dcterms:W3CDTF">2026-03-26T20:32:00Z</dcterms:modified>
</cp:coreProperties>
</file>