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tehnice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 w:cs="Times New Roman"/>
          <w:i/>
          <w:iCs/>
        </w:rPr>
        <w:t>[Acest tabel va fi completat de către ofertant în coloanele 2, 3, 4, 6, 7, iar de către autoritatea contractantă – în coloanele 1, 5,]</w:t>
      </w: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70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 w:cs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705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S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ervicii de expertiză tehnică a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obiectelor industriale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potențial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 xml:space="preserve">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09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54"/>
        <w:gridCol w:w="2691"/>
        <w:gridCol w:w="2098"/>
        <w:gridCol w:w="1107"/>
        <w:gridCol w:w="1406"/>
        <w:gridCol w:w="3394"/>
        <w:gridCol w:w="3068"/>
        <w:gridCol w:w="138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Nr. crt.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0"/>
                <w:lang w:val="ro-RO"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Ţara de origine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Producătorul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Specificarea tehnică deplină propusă de către ofertant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0"/>
              </w:rPr>
              <w:t>Standarde de referinţă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5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2691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09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0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40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394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306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38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szCs w:val="20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</w:rPr>
              <w:t>7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9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vertAlign w:val="baseline"/>
              </w:rPr>
              <w:t>Lot 1. Servicii de expertiză tehnică a obiectelor industriale potențial periculoase 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1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Tip: 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Diametrul și grosimea peretelui tamburului: 1512×44 mm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ecran: Ø83×4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economizor apă: Ø28×4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Țevi supraîncălzitor (treapta II): Ø42×3,5.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1592×44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1592×44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 xml:space="preserve">Tip: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Un singur tambur, tub de apă vertical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Presiunea aburului în tambur: 44 kgf/cm²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Temperatura calculată a aburului supraîncălzit: 440°C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Diametrul și grosimea peretelui tamburului: 1500×40 mm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ecran: Ø60×3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economizor apă: Ø32×3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I): Ø38×3,5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eastAsia="Calibri" w:cs="Times New Roman"/>
                <w:color w:val="auto"/>
                <w:lang w:val="zh-CN"/>
              </w:rPr>
              <w:t>Țevi supraîncălzitor (treapta II): Ø42×3,5</w:t>
            </w:r>
            <w:r>
              <w:rPr>
                <w:rFonts w:hint="default" w:ascii="Times New Roman" w:hAnsi="Times New Roman" w:eastAsia="Calibri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39,0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450°C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abur: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Ø273×11– 42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39,0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450°C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abur: Ø219×8 – 54,9 metri</w:t>
            </w:r>
            <w:r>
              <w:rPr>
                <w:rFonts w:hint="default" w:ascii="Times New Roman" w:hAnsi="Times New Roman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64,0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Ø159х7 – 212,7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59,0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150°C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Ø159х8 – 103,0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admisă: 64,0 kgf/cm²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Temperatura admisă: 145°C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Diametru și lungimea conductei de ap</w:t>
            </w:r>
            <w:r>
              <w:rPr>
                <w:rFonts w:hint="default" w:ascii="Times New Roman" w:hAnsi="Times New Roman" w:cs="Times New Roman"/>
                <w:color w:val="auto"/>
              </w:rPr>
              <w:t>ă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: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 w:eastAsia="ru-RU"/>
              </w:rPr>
              <w:t>Ø159х9 – 109,6 metri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eastAsia="ru-RU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top"/>
          </w:tcPr>
          <w:p>
            <w:pPr>
              <w:pStyle w:val="9"/>
              <w:widowControl w:val="0"/>
              <w:numPr>
                <w:ilvl w:val="0"/>
                <w:numId w:val="0"/>
              </w:numPr>
              <w:tabs>
                <w:tab w:val="left" w:pos="200"/>
              </w:tabs>
              <w:spacing w:after="0" w:line="240" w:lineRule="auto"/>
              <w:ind w:left="-60" w:leftChars="0" w:firstLine="0" w:firstLineChars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admisibilă a aburului: 7 kgf/cm2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Presiune admisibilă a apei: 15 kgf/cm2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Temperatură admisibilă a aburului: 400°C</w:t>
            </w:r>
            <w:r>
              <w:rPr>
                <w:rFonts w:hint="default" w:ascii="Times New Roman" w:hAnsi="Times New Roman" w:cs="Times New Roman"/>
                <w:color w:val="auto"/>
              </w:rPr>
              <w:t xml:space="preserve">. </w:t>
            </w:r>
            <w:r>
              <w:rPr>
                <w:rFonts w:hint="default" w:ascii="Times New Roman" w:hAnsi="Times New Roman" w:cs="Times New Roman"/>
                <w:color w:val="auto"/>
                <w:lang w:val="zh-CN"/>
              </w:rPr>
              <w:t>Temperatură admisibilă a apei: 150°C</w:t>
            </w:r>
            <w:r>
              <w:rPr>
                <w:rFonts w:hint="default" w:ascii="Times New Roman" w:hAnsi="Times New Roman" w:cs="Times New Roman"/>
                <w:color w:val="auto"/>
              </w:rPr>
              <w:t>.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3" w:hRule="atLeast"/>
        </w:trPr>
        <w:tc>
          <w:tcPr>
            <w:tcW w:w="15705" w:type="dxa"/>
            <w:gridSpan w:val="8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vertAlign w:val="baseline"/>
              </w:rPr>
              <w:t>Lot 2. 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 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 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554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2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2691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val="ro-RO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20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10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140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2"/>
                <w:szCs w:val="22"/>
                <w:vertAlign w:val="baseline"/>
              </w:rPr>
            </w:pPr>
          </w:p>
        </w:tc>
        <w:tc>
          <w:tcPr>
            <w:tcW w:w="3394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sz w:val="22"/>
                <w:szCs w:val="22"/>
                <w:highlight w:val="none"/>
                <w:lang w:val="en-US"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306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  <w:tc>
          <w:tcPr>
            <w:tcW w:w="138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vertAlign w:val="baseline"/>
              </w:rPr>
            </w:pPr>
          </w:p>
        </w:tc>
      </w:tr>
    </w:tbl>
    <w:p>
      <w:pPr>
        <w:tabs>
          <w:tab w:val="left" w:pos="6120"/>
        </w:tabs>
        <w:rPr>
          <w:rFonts w:hint="default" w:ascii="Times New Roman" w:hAnsi="Times New Roman" w:cs="Times New Roman"/>
          <w:b/>
          <w:bCs/>
          <w:sz w:val="20"/>
          <w:szCs w:val="20"/>
        </w:rPr>
      </w:pPr>
      <w:r>
        <w:rPr>
          <w:rFonts w:hint="default" w:ascii="Times New Roman" w:hAnsi="Times New Roman" w:cs="Times New Roman"/>
          <w:b/>
          <w:bCs/>
          <w:sz w:val="20"/>
          <w:szCs w:val="20"/>
        </w:rPr>
        <w:t>*Notă: Ofertantul trebuie să completeze coloana 6 cu specificația tehnică desfășurată, adică să indice toți parametrii tehnici detaliat pentru bunurile ofertate.</w:t>
      </w:r>
    </w:p>
    <w:p>
      <w:pPr>
        <w:rPr>
          <w:rFonts w:hint="default" w:ascii="Times New Roman" w:hAnsi="Times New Roman" w:cs="Times New Roman"/>
          <w:b/>
          <w:bCs/>
          <w:sz w:val="21"/>
          <w:szCs w:val="21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single"/>
        </w:rPr>
        <w:br w:type="page"/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textAlignment w:val="auto"/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</w:pPr>
      <w:r>
        <w:rPr>
          <w:rFonts w:hint="default" w:ascii="Times New Roman" w:hAnsi="Times New Roman" w:cs="Times New Roman"/>
          <w:b/>
          <w:bCs/>
          <w:color w:val="0000FF"/>
          <w:sz w:val="24"/>
          <w:szCs w:val="24"/>
        </w:rPr>
        <w:t>Specificații de preț</w:t>
      </w:r>
    </w:p>
    <w:p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181" w:beforeLines="50" w:after="181" w:afterLines="50"/>
        <w:jc w:val="center"/>
        <w:textAlignment w:val="auto"/>
        <w:rPr>
          <w:rFonts w:hint="default" w:ascii="Times New Roman" w:hAnsi="Times New Roman" w:cs="Times New Roman"/>
          <w:i/>
          <w:iCs/>
        </w:rPr>
      </w:pPr>
      <w:r>
        <w:rPr>
          <w:rFonts w:hint="default" w:ascii="Times New Roman" w:hAnsi="Times New Roman"/>
          <w:i/>
          <w:iCs/>
        </w:rPr>
        <w:t>[Acest tabel va fi completat de către ofertant în coloanele 5,6,7,8 și 11 la necesitate, iar de către autoritatea contractantă – în coloanele 1,2,3,4,9,10]</w:t>
      </w:r>
    </w:p>
    <w:tbl>
      <w:tblPr>
        <w:tblStyle w:val="6"/>
        <w:tblW w:w="0" w:type="auto"/>
        <w:tblInd w:w="1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69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Numărul procedurii de achiziție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     </w:t>
            </w:r>
            <w:r>
              <w:rPr>
                <w:rFonts w:hint="default" w:ascii="Times New Roman" w:hAnsi="Times New Roman" w:cs="Times New Roman"/>
                <w:vertAlign w:val="baseline"/>
              </w:rPr>
              <w:t xml:space="preserve"> din </w:t>
            </w:r>
            <w:r>
              <w:rPr>
                <w:rFonts w:hint="default" w:ascii="Times New Roman" w:hAnsi="Times New Roman" w:cs="Times New Roman"/>
                <w:u w:val="single"/>
                <w:vertAlign w:val="baseline"/>
              </w:rPr>
              <w:t xml:space="preserve">          </w:t>
            </w:r>
            <w:r>
              <w:rPr>
                <w:rFonts w:hint="default" w:ascii="Times New Roman" w:hAnsi="Times New Roman" w:cs="Times New Roman"/>
                <w:u w:val="none"/>
                <w:vertAlign w:val="baseline"/>
              </w:rPr>
              <w:t xml:space="preserve"> </w:t>
            </w:r>
            <w:r>
              <w:rPr>
                <w:rFonts w:hint="default" w:ascii="Times New Roman" w:hAnsi="Times New Roman"/>
                <w:i/>
                <w:iCs/>
                <w:color w:val="FF0000"/>
                <w:u w:val="none"/>
                <w:vertAlign w:val="baseline"/>
              </w:rPr>
              <w:t>(operatorul economic va specifica MTender ID-ul procedurii și data publicării și va elimina textul din paranteze)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2" w:hRule="atLeast"/>
        </w:trPr>
        <w:tc>
          <w:tcPr>
            <w:tcW w:w="1569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vertAlign w:val="baseline"/>
              </w:rPr>
            </w:pPr>
            <w:r>
              <w:rPr>
                <w:rFonts w:hint="default" w:ascii="Times New Roman" w:hAnsi="Times New Roman" w:cs="Times New Roman"/>
                <w:vertAlign w:val="baseline"/>
              </w:rPr>
              <w:t xml:space="preserve">Obiectul achiziției: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>S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ervicii de expertiză tehnică a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>obiectelor industriale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eastAsia="en-US"/>
              </w:rPr>
              <w:t xml:space="preserve"> potențial</w:t>
            </w:r>
            <w:r>
              <w:rPr>
                <w:rFonts w:hint="default" w:ascii="Times New Roman" w:hAnsi="Times New Roman" w:cs="Times New Roman"/>
                <w:b/>
                <w:bCs/>
                <w:u w:val="single"/>
                <w:vertAlign w:val="baseline"/>
                <w:lang w:val="zh-CN" w:eastAsia="en-US"/>
              </w:rPr>
              <w:t xml:space="preserve"> periculoase</w:t>
            </w:r>
          </w:p>
        </w:tc>
      </w:tr>
    </w:tbl>
    <w:p>
      <w:pPr>
        <w:rPr>
          <w:rFonts w:hint="default" w:ascii="Times New Roman" w:hAnsi="Times New Roman" w:cs="Times New Roman"/>
        </w:rPr>
      </w:pPr>
    </w:p>
    <w:tbl>
      <w:tblPr>
        <w:tblStyle w:val="6"/>
        <w:tblW w:w="0" w:type="auto"/>
        <w:tblInd w:w="11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32"/>
        <w:gridCol w:w="677"/>
        <w:gridCol w:w="2719"/>
        <w:gridCol w:w="967"/>
        <w:gridCol w:w="943"/>
        <w:gridCol w:w="1296"/>
        <w:gridCol w:w="1318"/>
        <w:gridCol w:w="1286"/>
        <w:gridCol w:w="1360"/>
        <w:gridCol w:w="2432"/>
        <w:gridCol w:w="1200"/>
        <w:gridCol w:w="972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Nr. lot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eastAsia="Times New Roman" w:cs="Times New Roman"/>
                <w:b/>
                <w:sz w:val="20"/>
                <w:szCs w:val="24"/>
                <w:u w:val="none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Cod CPV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Denumirea bunurilor/serviciilor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Unitatea de măsură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Canti-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tatea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(fără TVA)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Preţ unitar (cu TVA)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fără TVA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Suma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u w:val="none"/>
              </w:rPr>
              <w:t>cu TVA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Termenul de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livrare/prestare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Clasificație bugetară (IBAN)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Discount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b/>
                <w:sz w:val="20"/>
                <w:szCs w:val="28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b/>
                <w:sz w:val="20"/>
                <w:szCs w:val="28"/>
                <w:u w:val="none"/>
              </w:rPr>
              <w:t>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blHeader/>
        </w:trPr>
        <w:tc>
          <w:tcPr>
            <w:tcW w:w="5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0</w:t>
            </w:r>
          </w:p>
        </w:tc>
        <w:tc>
          <w:tcPr>
            <w:tcW w:w="67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</w:t>
            </w:r>
          </w:p>
        </w:tc>
        <w:tc>
          <w:tcPr>
            <w:tcW w:w="2719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2</w:t>
            </w:r>
          </w:p>
        </w:tc>
        <w:tc>
          <w:tcPr>
            <w:tcW w:w="967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3</w:t>
            </w:r>
          </w:p>
        </w:tc>
        <w:tc>
          <w:tcPr>
            <w:tcW w:w="943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4</w:t>
            </w:r>
          </w:p>
        </w:tc>
        <w:tc>
          <w:tcPr>
            <w:tcW w:w="129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5</w:t>
            </w:r>
          </w:p>
        </w:tc>
        <w:tc>
          <w:tcPr>
            <w:tcW w:w="1318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6</w:t>
            </w:r>
          </w:p>
        </w:tc>
        <w:tc>
          <w:tcPr>
            <w:tcW w:w="1286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7</w:t>
            </w:r>
          </w:p>
        </w:tc>
        <w:tc>
          <w:tcPr>
            <w:tcW w:w="136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8</w:t>
            </w:r>
          </w:p>
        </w:tc>
        <w:tc>
          <w:tcPr>
            <w:tcW w:w="243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9</w:t>
            </w:r>
          </w:p>
        </w:tc>
        <w:tc>
          <w:tcPr>
            <w:tcW w:w="1200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10</w:t>
            </w:r>
          </w:p>
        </w:tc>
        <w:tc>
          <w:tcPr>
            <w:tcW w:w="972" w:type="dxa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sz w:val="20"/>
                <w:u w:val="no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u w:val="none"/>
              </w:rPr>
              <w:t>11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3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highlight w:val="none"/>
                <w14:textFill>
                  <w14:solidFill>
                    <w14:schemeClr w14:val="tx1"/>
                  </w14:solidFill>
                </w14:textFill>
              </w:rPr>
              <w:t>Lot 1. Servicii de expertiză tehnică a obiectelor industriale potențial periculoase (cu scopul prelungirii termenului de exploatare)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5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>2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213.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>Termen-limită: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Etapa I - 21.04.2026.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Etapa II - 22 zile lucrătoare de la recepția Rapoartelor de control tehnic, dar nu mai târziu de 01.09.2026.</w:t>
            </w:r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center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lang w:eastAsia="en-US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4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1119.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singl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/>
                <w:sz w:val="20"/>
                <w:szCs w:val="20"/>
                <w:u w:val="none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5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1586.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>Cazan de abur БКЗ 75/39, nr.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</w:rPr>
              <w:t xml:space="preserve"> 6</w:t>
            </w:r>
            <w:r>
              <w:rPr>
                <w:rFonts w:hint="default" w:ascii="Times New Roman" w:hAnsi="Times New Roman" w:cs="Times New Roman"/>
                <w:bCs/>
                <w:color w:val="auto"/>
                <w:szCs w:val="24"/>
                <w:lang w:val="zh-CN"/>
              </w:rPr>
              <w:t xml:space="preserve"> de înregistrare 2731.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1120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abur al cazanelor,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7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1121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6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alimentare al agregatelor de cazane, nr. de înregistrare 217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2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eastAsia="ro-RO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Colector de presiune al pompelor de alimentare, nr. de înregistrare 7693</w:t>
            </w:r>
            <w:r>
              <w:rPr>
                <w:rFonts w:hint="default" w:ascii="Times New Roman" w:hAnsi="Times New Roman" w:cs="Times New Roman"/>
                <w:color w:val="auto"/>
                <w:szCs w:val="24"/>
              </w:rPr>
              <w:t>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0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pacing w:after="0" w:line="240" w:lineRule="auto"/>
              <w:jc w:val="both"/>
              <w:rPr>
                <w:rFonts w:hint="default" w:ascii="Times New Roman" w:hAnsi="Times New Roman" w:cs="Times New Roman"/>
                <w:i w:val="0"/>
                <w:iCs w:val="0"/>
                <w:sz w:val="20"/>
                <w:szCs w:val="20"/>
                <w:lang w:val="zh-CN" w:eastAsia="ro-RO"/>
              </w:rPr>
            </w:pPr>
            <w:r>
              <w:rPr>
                <w:rFonts w:hint="default" w:ascii="Times New Roman" w:hAnsi="Times New Roman" w:eastAsia="Cambria" w:cs="Times New Roman"/>
                <w:color w:val="auto"/>
                <w:szCs w:val="24"/>
                <w:lang w:val="zh-CN"/>
              </w:rPr>
              <w:t>Schimbător de căldură ПБ-3,</w:t>
            </w: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 xml:space="preserve"> nr. de înregistrare 7796.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 w:eastAsiaTheme="minorEastAsia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lang w:eastAsia="en-US"/>
              </w:rPr>
            </w:pPr>
            <w:r>
              <w:rPr>
                <w:rFonts w:hint="default" w:ascii="Times New Roman" w:hAnsi="Times New Roman" w:cs="Times New Roman"/>
                <w:color w:val="auto"/>
                <w:szCs w:val="24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8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15702" w:type="dxa"/>
            <w:gridSpan w:val="12"/>
            <w:shd w:val="clear" w:color="auto" w:fill="BEBEBE" w:themeFill="background1" w:themeFillShade="BF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center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  <w:r>
              <w:rPr>
                <w:rFonts w:hint="default" w:ascii="Times New Roman" w:hAnsi="Times New Roman" w:cs="Times New Roman"/>
                <w:b/>
                <w:bCs/>
                <w:highlight w:val="none"/>
                <w:u w:val="none"/>
                <w:vertAlign w:val="baseline"/>
              </w:rPr>
              <w:t>Lot 2. Servicii de inspecție tehnică a obiectelor industriale potențial periculoase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right="113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default" w:ascii="Times New Roman" w:hAnsi="Times New Roman" w:cs="Times New Roman"/>
                <w:color w:val="000000" w:themeColor="text1"/>
                <w:sz w:val="20"/>
                <w:szCs w:val="20"/>
                <w:lang w:eastAsia="en-US"/>
                <w14:textFill>
                  <w14:solidFill>
                    <w14:schemeClr w14:val="tx1"/>
                  </w14:solidFill>
                </w14:textFill>
              </w:rPr>
              <w:t>71319000-7</w:t>
            </w: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Cazan de abur ГМ-40/39, nr.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3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 xml:space="preserve">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787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restart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</w:pPr>
            <w:r>
              <w:rPr>
                <w:rFonts w:hint="default" w:ascii="Times New Roman" w:hAnsi="Times New Roman" w:cs="Times New Roman"/>
                <w:highlight w:val="none"/>
                <w:u w:val="single"/>
                <w:vertAlign w:val="baseline"/>
                <w:lang w:eastAsia="zh-CN" w:bidi="ar-SA"/>
              </w:rPr>
              <w:t xml:space="preserve">Termen-limită: 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highlight w:val="none"/>
                <w:u w:val="single"/>
                <w:vertAlign w:val="baseline"/>
                <w:lang w:eastAsia="zh-CN" w:bidi="ar-SA"/>
              </w:rPr>
              <w:t>Inspecția tehnică periodică - 01.09.2026.</w:t>
            </w:r>
            <w:bookmarkStart w:id="0" w:name="_GoBack"/>
            <w:bookmarkEnd w:id="0"/>
          </w:p>
        </w:tc>
        <w:tc>
          <w:tcPr>
            <w:tcW w:w="1200" w:type="dxa"/>
            <w:vMerge w:val="restart"/>
            <w:textDirection w:val="btLr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113" w:leftChars="0" w:right="113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  <w:t>MD21ML022510000000004015</w:t>
            </w: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Recipient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pacing w:val="0"/>
                <w:position w:val="0"/>
                <w:sz w:val="20"/>
                <w:szCs w:val="20"/>
                <w:shd w:val="clear" w:fill="auto"/>
              </w:rPr>
              <w:t xml:space="preserve">ПБ - 1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10194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eastAsia="SimSun" w:cs="Times New Roman"/>
                <w:b w:val="0"/>
                <w:bCs/>
                <w:i w:val="0"/>
                <w:iCs w:val="0"/>
                <w:color w:val="000000"/>
                <w:kern w:val="0"/>
                <w:sz w:val="20"/>
                <w:szCs w:val="20"/>
                <w:highlight w:val="none"/>
                <w:u w:val="none"/>
                <w:lang w:eastAsia="zh-CN" w:bidi="ar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Preîncălzitor de presiune înaltă ПВД-1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10151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9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  П-отбора ТГ-1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 xml:space="preserve"> 80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73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Instalație de reducere și răcire a aburului РОУ-1 с п/п высокая сторона.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2330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РОУ-1 (низкая сторона)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2650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Питательный коллектор КА.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 2733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Instalație de reducere și răcire  a aburului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abur РОУ-5 (высокая и низкая сторона)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3279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Паропровод ТГ-4 (низкая сторона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8 ати,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o-RO"/>
              </w:rPr>
              <w:t xml:space="preserve">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ПБ-3),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3280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2,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4166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4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7453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abur/Паровой коллектор котлов.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7559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К-7. Паровой коллектор от ПП-80 до заглушки.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7569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Colector de alimentare/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ru-RU"/>
              </w:rPr>
              <w:t>П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итательный коллектор КА-7 от ПВ-15-1 до загл. ПВД-5, ХС III- оч.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7570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7585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7690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6.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7691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ПВД-5 (а, б).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7692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от ПП-1 до ПП-20.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7828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ТГ-1.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7855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 xml:space="preserve">Conductă de abur/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Паропровод к/а </w:t>
            </w:r>
            <w:r>
              <w:rPr>
                <w:rFonts w:hint="default" w:ascii="Times New Roman" w:hAnsi="Times New Roman" w:eastAsia="Segoe UI Symbol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>№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3.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8124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2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</w:rPr>
              <w:t>Conductă de abur/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Паровая перемычка РОУ-1- РОУ-5.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8179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8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4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="425" w:leftChars="0" w:hanging="425" w:firstLine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shd w:val="clear" w:color="auto" w:fill="FFFFFF" w:themeFill="background1"/>
              <w:spacing w:after="0" w:line="240" w:lineRule="auto"/>
              <w:jc w:val="both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Conductă de alimentare/ Питательный трубопровод ПВД-1. nr. 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  <w:lang w:val="zh-CN"/>
              </w:rPr>
              <w:t>de înregistrare</w:t>
            </w:r>
            <w:r>
              <w:rPr>
                <w:rFonts w:hint="default" w:ascii="Times New Roman" w:hAnsi="Times New Roman" w:eastAsia="Cambria" w:cs="Times New Roman"/>
                <w:b w:val="0"/>
                <w:bCs/>
                <w:color w:val="auto"/>
                <w:sz w:val="20"/>
                <w:szCs w:val="20"/>
                <w:highlight w:val="none"/>
              </w:rPr>
              <w:t xml:space="preserve"> 8275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</w:rPr>
              <w:t>buc</w:t>
            </w:r>
          </w:p>
        </w:tc>
        <w:tc>
          <w:tcPr>
            <w:tcW w:w="943" w:type="dxa"/>
            <w:vAlign w:val="center"/>
          </w:tcPr>
          <w:p>
            <w:pPr>
              <w:widowControl w:val="0"/>
              <w:spacing w:after="0" w:line="240" w:lineRule="auto"/>
              <w:jc w:val="center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color w:val="auto"/>
                <w:sz w:val="20"/>
                <w:szCs w:val="20"/>
                <w:lang w:val="zh-CN"/>
              </w:rPr>
              <w:t>1,0</w:t>
            </w: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vMerge w:val="continue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0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widowControl w:val="0"/>
              <w:tabs>
                <w:tab w:val="left" w:pos="600"/>
              </w:tabs>
              <w:spacing w:after="0" w:line="240" w:lineRule="auto"/>
              <w:jc w:val="both"/>
              <w:textAlignment w:val="bottom"/>
              <w:rPr>
                <w:rFonts w:hint="default" w:ascii="Times New Roman" w:hAnsi="Times New Roman" w:cs="Times New Roman"/>
                <w:b w:val="0"/>
                <w:bCs w:val="0"/>
                <w:i w:val="0"/>
                <w:iCs w:val="0"/>
                <w:sz w:val="20"/>
                <w:szCs w:val="20"/>
                <w:lang w:eastAsia="ru-RU"/>
              </w:rPr>
            </w:pPr>
            <w:r>
              <w:rPr>
                <w:rFonts w:hint="default" w:ascii="Times New Roman" w:hAnsi="Times New Roman" w:cs="Times New Roman"/>
                <w:b/>
                <w:bCs/>
                <w:i w:val="0"/>
                <w:iCs w:val="0"/>
                <w:sz w:val="20"/>
                <w:szCs w:val="20"/>
                <w:lang w:eastAsia="ru-RU"/>
              </w:rPr>
              <w:t xml:space="preserve">TOTAL </w:t>
            </w: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LOT 2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cs="Times New Roman"/>
                <w:sz w:val="20"/>
                <w:szCs w:val="20"/>
                <w:lang w:eastAsia="en-US" w:bidi="ar-SA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tabs>
                <w:tab w:val="left" w:pos="720"/>
              </w:tabs>
              <w:spacing w:after="0" w:line="240" w:lineRule="auto"/>
              <w:jc w:val="center"/>
              <w:textAlignment w:val="bottom"/>
              <w:rPr>
                <w:rFonts w:hint="default" w:ascii="Times New Roman" w:hAnsi="Times New Roman" w:eastAsia="Calibri" w:cs="Times New Roman"/>
                <w:i w:val="0"/>
                <w:sz w:val="20"/>
                <w:szCs w:val="20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u w:val="none"/>
                <w:vertAlign w:val="baseline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37" w:hRule="atLeast"/>
        </w:trPr>
        <w:tc>
          <w:tcPr>
            <w:tcW w:w="53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677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color w:val="000000" w:themeColor="text1"/>
                <w:sz w:val="15"/>
                <w:szCs w:val="15"/>
                <w:highlight w:val="yellow"/>
                <w14:textFill>
                  <w14:solidFill>
                    <w14:schemeClr w14:val="tx1"/>
                  </w14:solidFill>
                </w14:textFill>
              </w:rPr>
            </w:pPr>
          </w:p>
        </w:tc>
        <w:tc>
          <w:tcPr>
            <w:tcW w:w="2719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after="0"/>
              <w:ind w:left="0" w:leftChars="0" w:right="0" w:rightChars="0"/>
              <w:jc w:val="both"/>
              <w:textAlignment w:val="auto"/>
              <w:rPr>
                <w:rFonts w:hint="default" w:ascii="Times New Roman" w:hAnsi="Times New Roman" w:cs="Times New Roman"/>
                <w:b w:val="0"/>
                <w:bCs w:val="0"/>
                <w:sz w:val="20"/>
                <w:szCs w:val="20"/>
                <w:highlight w:val="yellow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0"/>
                <w:szCs w:val="20"/>
                <w:highlight w:val="none"/>
              </w:rPr>
              <w:t>TOTAL</w:t>
            </w:r>
          </w:p>
        </w:tc>
        <w:tc>
          <w:tcPr>
            <w:tcW w:w="967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943" w:type="dxa"/>
            <w:vAlign w:val="center"/>
          </w:tcPr>
          <w:p>
            <w:pPr>
              <w:widowControl w:val="0"/>
              <w:ind w:left="-57" w:leftChars="0" w:right="-57" w:rightChars="0"/>
              <w:jc w:val="center"/>
              <w:rPr>
                <w:rFonts w:hint="default" w:ascii="Times New Roman" w:hAnsi="Times New Roman" w:cs="Times New Roman"/>
                <w:b w:val="0"/>
                <w:bCs/>
                <w:sz w:val="20"/>
                <w:szCs w:val="20"/>
                <w:highlight w:val="yellow"/>
                <w:lang w:eastAsia="ru-RU"/>
              </w:rPr>
            </w:pPr>
          </w:p>
        </w:tc>
        <w:tc>
          <w:tcPr>
            <w:tcW w:w="129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18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286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136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1200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ind w:leftChars="0" w:rightChars="0"/>
              <w:jc w:val="center"/>
              <w:textAlignment w:val="auto"/>
              <w:rPr>
                <w:rFonts w:hint="default" w:ascii="Times New Roman" w:hAnsi="Times New Roman" w:cs="Times New Roman" w:eastAsiaTheme="minorEastAsia"/>
                <w:highlight w:val="yellow"/>
                <w:u w:val="none"/>
                <w:vertAlign w:val="baseline"/>
                <w:lang w:val="en-US" w:eastAsia="zh-CN" w:bidi="ar-SA"/>
              </w:rPr>
            </w:pPr>
          </w:p>
        </w:tc>
        <w:tc>
          <w:tcPr>
            <w:tcW w:w="972" w:type="dxa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64" w:lineRule="auto"/>
              <w:jc w:val="both"/>
              <w:textAlignment w:val="auto"/>
              <w:rPr>
                <w:rFonts w:hint="default" w:ascii="Times New Roman" w:hAnsi="Times New Roman" w:cs="Times New Roman"/>
                <w:highlight w:val="yellow"/>
                <w:u w:val="none"/>
                <w:vertAlign w:val="baseline"/>
              </w:rPr>
            </w:pPr>
          </w:p>
        </w:tc>
      </w:tr>
    </w:tbl>
    <w:p>
      <w:pPr>
        <w:rPr>
          <w:rFonts w:hint="default" w:ascii="Times New Roman" w:hAnsi="Times New Roman" w:cs="Times New Roman"/>
        </w:rPr>
      </w:pPr>
    </w:p>
    <w:p>
      <w:pPr>
        <w:spacing w:line="360" w:lineRule="auto"/>
        <w:rPr>
          <w:rFonts w:hint="default" w:ascii="Times New Roman" w:hAnsi="Times New Roman" w:cs="Times New Roman"/>
          <w:u w:val="single"/>
        </w:rPr>
      </w:pPr>
      <w:r>
        <w:rPr>
          <w:rFonts w:hint="default" w:ascii="Times New Roman" w:hAnsi="Times New Roman" w:cs="Times New Roman"/>
        </w:rPr>
        <w:t xml:space="preserve">Semnat: </w:t>
      </w:r>
      <w:r>
        <w:rPr>
          <w:rFonts w:hint="default" w:ascii="Times New Roman" w:hAnsi="Times New Roman" w:cs="Times New Roman"/>
          <w:u w:val="single"/>
        </w:rPr>
        <w:t xml:space="preserve">              </w:t>
      </w:r>
      <w:r>
        <w:rPr>
          <w:rFonts w:hint="default" w:ascii="Times New Roman" w:hAnsi="Times New Roman" w:cs="Times New Roman"/>
        </w:rPr>
        <w:t xml:space="preserve"> Numele, Prenumele: </w:t>
      </w:r>
      <w:r>
        <w:rPr>
          <w:rFonts w:hint="default" w:ascii="Times New Roman" w:hAnsi="Times New Roman" w:cs="Times New Roman"/>
          <w:u w:val="single"/>
        </w:rPr>
        <w:t xml:space="preserve">                             </w:t>
      </w:r>
      <w:r>
        <w:rPr>
          <w:rFonts w:hint="default" w:ascii="Times New Roman" w:hAnsi="Times New Roman" w:cs="Times New Roman"/>
        </w:rPr>
        <w:t xml:space="preserve"> În calitate de: </w:t>
      </w:r>
      <w:r>
        <w:rPr>
          <w:rFonts w:hint="default" w:ascii="Times New Roman" w:hAnsi="Times New Roman" w:cs="Times New Roman"/>
          <w:u w:val="single"/>
        </w:rPr>
        <w:t xml:space="preserve">                 </w:t>
      </w:r>
    </w:p>
    <w:p>
      <w:pPr>
        <w:spacing w:line="360" w:lineRule="auto"/>
        <w:rPr>
          <w:rFonts w:hint="default" w:ascii="Times New Roman" w:hAnsi="Times New Roman" w:cs="Times New Roman"/>
          <w:u w:val="none"/>
        </w:rPr>
      </w:pPr>
      <w:r>
        <w:rPr>
          <w:rFonts w:hint="default" w:ascii="Times New Roman" w:hAnsi="Times New Roman" w:cs="Times New Roman"/>
          <w:u w:val="none"/>
        </w:rPr>
        <w:t xml:space="preserve">Ofertantul: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  <w:r>
        <w:rPr>
          <w:rFonts w:hint="default" w:ascii="Times New Roman" w:hAnsi="Times New Roman" w:cs="Times New Roman"/>
          <w:u w:val="none"/>
        </w:rPr>
        <w:t xml:space="preserve"> Adresa: </w:t>
      </w:r>
      <w:r>
        <w:rPr>
          <w:rFonts w:hint="default" w:ascii="Times New Roman" w:hAnsi="Times New Roman" w:cs="Times New Roman"/>
          <w:u w:val="single"/>
        </w:rPr>
        <w:t xml:space="preserve">                        </w:t>
      </w:r>
    </w:p>
    <w:sectPr>
      <w:footerReference r:id="rId3" w:type="default"/>
      <w:pgSz w:w="16838" w:h="11906" w:orient="landscape"/>
      <w:pgMar w:top="567" w:right="567" w:bottom="567" w:left="567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  <w:font w:name="Cambria">
    <w:panose1 w:val="02040503050406030204"/>
    <w:charset w:val="CC"/>
    <w:family w:val="roman"/>
    <w:pitch w:val="default"/>
    <w:sig w:usb0="E00006FF" w:usb1="420024FF" w:usb2="02000000" w:usb3="00000000" w:csb0="2000019F" w:csb1="00000000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w:rPr>
        <w:sz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Текстовое поле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begin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separate"/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t>1</w:t>
                          </w:r>
                          <w:r>
                            <w:rPr>
                              <w:rFonts w:hint="default" w:ascii="Times New Roman" w:hAnsi="Times New Roman" w:cs="Times New Roman"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begin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instrText xml:space="preserve"> PAGE  \* MERGEFORMAT </w:instrTex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separate"/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t>1</w:t>
                    </w:r>
                    <w:r>
                      <w:rPr>
                        <w:rFonts w:hint="default" w:ascii="Times New Roman" w:hAnsi="Times New Roman" w:cs="Times New Roman"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81D6A93B"/>
    <w:multiLevelType w:val="singleLevel"/>
    <w:tmpl w:val="81D6A93B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1">
    <w:nsid w:val="94DFDD13"/>
    <w:multiLevelType w:val="singleLevel"/>
    <w:tmpl w:val="94DFDD13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2">
    <w:nsid w:val="3DA9C2E2"/>
    <w:multiLevelType w:val="singleLevel"/>
    <w:tmpl w:val="3DA9C2E2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abstractNum w:abstractNumId="3">
    <w:nsid w:val="6DE3A9C6"/>
    <w:multiLevelType w:val="singleLevel"/>
    <w:tmpl w:val="6DE3A9C6"/>
    <w:lvl w:ilvl="0" w:tentative="0">
      <w:start w:val="1"/>
      <w:numFmt w:val="decimal"/>
      <w:lvlText w:val="%1."/>
      <w:lvlJc w:val="left"/>
      <w:pPr>
        <w:tabs>
          <w:tab w:val="left" w:pos="425"/>
        </w:tabs>
        <w:ind w:left="425" w:leftChars="0" w:hanging="425" w:firstLineChars="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213D0"/>
    <w:rsid w:val="017D091D"/>
    <w:rsid w:val="02346795"/>
    <w:rsid w:val="02462A4F"/>
    <w:rsid w:val="03962305"/>
    <w:rsid w:val="040E6A75"/>
    <w:rsid w:val="04296986"/>
    <w:rsid w:val="05622F19"/>
    <w:rsid w:val="05687487"/>
    <w:rsid w:val="07566DC1"/>
    <w:rsid w:val="07E0084F"/>
    <w:rsid w:val="081C68A3"/>
    <w:rsid w:val="09BB20A2"/>
    <w:rsid w:val="0A1F41F1"/>
    <w:rsid w:val="0B4E6151"/>
    <w:rsid w:val="0C722C9C"/>
    <w:rsid w:val="0D7F51EF"/>
    <w:rsid w:val="0DB75CB8"/>
    <w:rsid w:val="0DE66214"/>
    <w:rsid w:val="0E601383"/>
    <w:rsid w:val="0E7A2EC8"/>
    <w:rsid w:val="0FC02FFE"/>
    <w:rsid w:val="0FD44869"/>
    <w:rsid w:val="0FF11F36"/>
    <w:rsid w:val="103877B0"/>
    <w:rsid w:val="10425480"/>
    <w:rsid w:val="12451BE4"/>
    <w:rsid w:val="124A57A9"/>
    <w:rsid w:val="12575467"/>
    <w:rsid w:val="12D215CD"/>
    <w:rsid w:val="130D44C7"/>
    <w:rsid w:val="139B6ACA"/>
    <w:rsid w:val="140A5C07"/>
    <w:rsid w:val="14262F35"/>
    <w:rsid w:val="14814EC1"/>
    <w:rsid w:val="14C31A74"/>
    <w:rsid w:val="15433EAE"/>
    <w:rsid w:val="15440FF8"/>
    <w:rsid w:val="15CF515F"/>
    <w:rsid w:val="16176152"/>
    <w:rsid w:val="16937C78"/>
    <w:rsid w:val="17001CBE"/>
    <w:rsid w:val="170736D8"/>
    <w:rsid w:val="1711447D"/>
    <w:rsid w:val="177C1E69"/>
    <w:rsid w:val="17FC6C44"/>
    <w:rsid w:val="180F092C"/>
    <w:rsid w:val="186F27B0"/>
    <w:rsid w:val="195D06C0"/>
    <w:rsid w:val="1A235F91"/>
    <w:rsid w:val="1B0A44F5"/>
    <w:rsid w:val="1BF2555C"/>
    <w:rsid w:val="1C8708F3"/>
    <w:rsid w:val="1CAF2C3E"/>
    <w:rsid w:val="1D1F7306"/>
    <w:rsid w:val="1DB03E28"/>
    <w:rsid w:val="1E2A35E1"/>
    <w:rsid w:val="1ED12D01"/>
    <w:rsid w:val="1EEC7A8C"/>
    <w:rsid w:val="1F115A8C"/>
    <w:rsid w:val="1F7C2CE0"/>
    <w:rsid w:val="20642787"/>
    <w:rsid w:val="21467084"/>
    <w:rsid w:val="224E40E6"/>
    <w:rsid w:val="22575BBF"/>
    <w:rsid w:val="233D0DFF"/>
    <w:rsid w:val="25917193"/>
    <w:rsid w:val="259D1413"/>
    <w:rsid w:val="262172E1"/>
    <w:rsid w:val="2651338D"/>
    <w:rsid w:val="28072153"/>
    <w:rsid w:val="288F05BB"/>
    <w:rsid w:val="2B8A559C"/>
    <w:rsid w:val="2C387782"/>
    <w:rsid w:val="2FAB6462"/>
    <w:rsid w:val="30976DA2"/>
    <w:rsid w:val="3098299F"/>
    <w:rsid w:val="30D62DDA"/>
    <w:rsid w:val="315E3EB1"/>
    <w:rsid w:val="319934B1"/>
    <w:rsid w:val="32117518"/>
    <w:rsid w:val="32A40826"/>
    <w:rsid w:val="333E1F2C"/>
    <w:rsid w:val="33AC3EA2"/>
    <w:rsid w:val="33EF3A8A"/>
    <w:rsid w:val="34177D90"/>
    <w:rsid w:val="34502B78"/>
    <w:rsid w:val="34D058C0"/>
    <w:rsid w:val="358F4C83"/>
    <w:rsid w:val="35B4714A"/>
    <w:rsid w:val="35D62430"/>
    <w:rsid w:val="36202A8B"/>
    <w:rsid w:val="38255210"/>
    <w:rsid w:val="38286CC9"/>
    <w:rsid w:val="38296019"/>
    <w:rsid w:val="38874FCD"/>
    <w:rsid w:val="38A21BCA"/>
    <w:rsid w:val="399B6093"/>
    <w:rsid w:val="39CA71D3"/>
    <w:rsid w:val="39E9692C"/>
    <w:rsid w:val="3C041D7E"/>
    <w:rsid w:val="3C827701"/>
    <w:rsid w:val="3CEE333F"/>
    <w:rsid w:val="3D98229D"/>
    <w:rsid w:val="3DF53D49"/>
    <w:rsid w:val="3DFF4976"/>
    <w:rsid w:val="3EDD389A"/>
    <w:rsid w:val="408C5B31"/>
    <w:rsid w:val="442B4CA6"/>
    <w:rsid w:val="446A7138"/>
    <w:rsid w:val="45B756C2"/>
    <w:rsid w:val="47134419"/>
    <w:rsid w:val="48E41E27"/>
    <w:rsid w:val="493C0430"/>
    <w:rsid w:val="49991CBB"/>
    <w:rsid w:val="4A3459A1"/>
    <w:rsid w:val="4A88537A"/>
    <w:rsid w:val="4B003D55"/>
    <w:rsid w:val="4B2B3590"/>
    <w:rsid w:val="4C2724B2"/>
    <w:rsid w:val="4C4A7549"/>
    <w:rsid w:val="4C6C31D0"/>
    <w:rsid w:val="4C9C7914"/>
    <w:rsid w:val="4CC409B9"/>
    <w:rsid w:val="4DFA077B"/>
    <w:rsid w:val="4E1B06BB"/>
    <w:rsid w:val="4E7C796B"/>
    <w:rsid w:val="4FAB103A"/>
    <w:rsid w:val="51782041"/>
    <w:rsid w:val="51816D85"/>
    <w:rsid w:val="51FD0610"/>
    <w:rsid w:val="52617C8C"/>
    <w:rsid w:val="530E15DE"/>
    <w:rsid w:val="53380017"/>
    <w:rsid w:val="533D68E5"/>
    <w:rsid w:val="540839FD"/>
    <w:rsid w:val="542454C9"/>
    <w:rsid w:val="55827CD5"/>
    <w:rsid w:val="56B9243A"/>
    <w:rsid w:val="56E078B0"/>
    <w:rsid w:val="577F10CA"/>
    <w:rsid w:val="578F06BB"/>
    <w:rsid w:val="579F77F4"/>
    <w:rsid w:val="58D6288E"/>
    <w:rsid w:val="594F3B0C"/>
    <w:rsid w:val="5AC72C37"/>
    <w:rsid w:val="5B1E4F87"/>
    <w:rsid w:val="5CF43F2D"/>
    <w:rsid w:val="5D1B5374"/>
    <w:rsid w:val="5DA51471"/>
    <w:rsid w:val="5E5A1480"/>
    <w:rsid w:val="5E630E0B"/>
    <w:rsid w:val="5E940365"/>
    <w:rsid w:val="60B92B6E"/>
    <w:rsid w:val="610A2A1F"/>
    <w:rsid w:val="61D80EC5"/>
    <w:rsid w:val="621F73AD"/>
    <w:rsid w:val="63892EC6"/>
    <w:rsid w:val="63A250EB"/>
    <w:rsid w:val="64045BB5"/>
    <w:rsid w:val="66BF2FF9"/>
    <w:rsid w:val="681B32D5"/>
    <w:rsid w:val="68523905"/>
    <w:rsid w:val="697E5F4B"/>
    <w:rsid w:val="69AC0C58"/>
    <w:rsid w:val="6AF75CE4"/>
    <w:rsid w:val="6AFB19F8"/>
    <w:rsid w:val="6B52785D"/>
    <w:rsid w:val="6CA06729"/>
    <w:rsid w:val="6CEF158D"/>
    <w:rsid w:val="6DB1777F"/>
    <w:rsid w:val="6DE34AE4"/>
    <w:rsid w:val="6E3C219F"/>
    <w:rsid w:val="6E4152D7"/>
    <w:rsid w:val="6E953061"/>
    <w:rsid w:val="71F22B08"/>
    <w:rsid w:val="727E6E20"/>
    <w:rsid w:val="72E36382"/>
    <w:rsid w:val="733D60BC"/>
    <w:rsid w:val="7477213F"/>
    <w:rsid w:val="74A0273F"/>
    <w:rsid w:val="74BD341A"/>
    <w:rsid w:val="76FF686B"/>
    <w:rsid w:val="77E174F5"/>
    <w:rsid w:val="7AE377C7"/>
    <w:rsid w:val="7B0B2BDE"/>
    <w:rsid w:val="7BE6624C"/>
    <w:rsid w:val="7BF628C7"/>
    <w:rsid w:val="7C042B76"/>
    <w:rsid w:val="7C4F1F14"/>
    <w:rsid w:val="7E451830"/>
    <w:rsid w:val="7E7365A2"/>
    <w:rsid w:val="7F272E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qFormat="1" w:unhideWhenUsed="0" w:uiPriority="34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EastAsia" w:cstheme="minorBidi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header"/>
    <w:basedOn w:val="1"/>
    <w:qFormat/>
    <w:uiPriority w:val="0"/>
    <w:pPr>
      <w:tabs>
        <w:tab w:val="center" w:pos="4153"/>
        <w:tab w:val="right" w:pos="8306"/>
      </w:tabs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</w:p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2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paragraph" w:styleId="9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Office_11.2.0.9327_F1E327BC-269C-435d-A152-05C5408002CA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2022-11-03T10:30:00Z</dcterms:created>
  <dc:creator>A_Basistii</dc:creator>
  <cp:lastModifiedBy>E_Virsta</cp:lastModifiedBy>
  <dcterms:modified xsi:type="dcterms:W3CDTF">2026-03-10T14:39:28Z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1049-11.2.0.9327</vt:lpwstr>
  </property>
  <property fmtid="{D5CDD505-2E9C-101B-9397-08002B2CF9AE}" pid="3" name="ICV">
    <vt:lpwstr>8632AD39FE9449BD8F94C96F62E4A7D3</vt:lpwstr>
  </property>
</Properties>
</file>