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9814E9" w:rsidRPr="009814E9" w:rsidRDefault="00A20ACF" w:rsidP="009814E9">
            <w:pPr>
              <w:spacing w:line="360" w:lineRule="auto"/>
              <w:jc w:val="both"/>
              <w:rPr>
                <w:b/>
                <w:i/>
                <w:sz w:val="28"/>
                <w:szCs w:val="28"/>
                <w:u w:val="single"/>
              </w:rPr>
            </w:pPr>
            <w:r w:rsidRPr="00E35CBC">
              <w:rPr>
                <w:sz w:val="32"/>
                <w:szCs w:val="32"/>
              </w:rPr>
              <w:t>Obiectul achiziţiei:</w:t>
            </w:r>
            <w:r w:rsidRPr="00C12A49">
              <w:rPr>
                <w:b/>
                <w:sz w:val="28"/>
                <w:szCs w:val="28"/>
              </w:rPr>
              <w:tab/>
            </w:r>
            <w:r w:rsidR="009814E9" w:rsidRPr="009814E9">
              <w:rPr>
                <w:b/>
                <w:i/>
                <w:sz w:val="28"/>
                <w:szCs w:val="28"/>
                <w:u w:val="single"/>
              </w:rPr>
              <w:t>„Lucrări de schimbarea acoperișului</w:t>
            </w:r>
          </w:p>
          <w:p w:rsidR="0079507E" w:rsidRDefault="009814E9" w:rsidP="009814E9">
            <w:pPr>
              <w:spacing w:line="360" w:lineRule="auto"/>
              <w:rPr>
                <w:sz w:val="32"/>
                <w:szCs w:val="32"/>
              </w:rPr>
            </w:pPr>
            <w:r w:rsidRPr="009814E9">
              <w:rPr>
                <w:b/>
                <w:bCs/>
                <w:i/>
                <w:sz w:val="28"/>
                <w:szCs w:val="28"/>
                <w:u w:val="single"/>
                <w:lang w:val="en-US"/>
              </w:rPr>
              <w:t>IP Școala-grădinița nr.152 "Pas cu pas", bd. Decebal, 91a</w:t>
            </w:r>
            <w:r w:rsidRPr="009814E9">
              <w:rPr>
                <w:b/>
                <w:sz w:val="28"/>
                <w:szCs w:val="28"/>
              </w:rPr>
              <w:t>.</w:t>
            </w:r>
            <w:r w:rsidRPr="009814E9">
              <w:rPr>
                <w:b/>
                <w:i/>
                <w:sz w:val="28"/>
                <w:szCs w:val="28"/>
                <w:u w:val="single"/>
              </w:rPr>
              <w:t>”</w:t>
            </w:r>
            <w:r w:rsidRPr="009814E9">
              <w:rPr>
                <w:b/>
                <w:sz w:val="28"/>
                <w:szCs w:val="28"/>
                <w:u w:val="single"/>
                <w:lang w:val="ro-MD"/>
              </w:rPr>
              <w:br/>
            </w:r>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9814E9">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3E1ACE">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0" w:name="_Toc392180116"/>
            <w:bookmarkStart w:id="1" w:name="_Toc449539006"/>
            <w:r w:rsidRPr="00605DD0">
              <w:rPr>
                <w:rFonts w:asciiTheme="majorHAnsi" w:hAnsiTheme="majorHAnsi" w:cstheme="majorHAnsi"/>
                <w:lang w:val="ro-RO"/>
              </w:rPr>
              <w:t>CAPITOLUL</w:t>
            </w:r>
            <w:bookmarkEnd w:id="0"/>
            <w:bookmarkEnd w:id="1"/>
            <w:r w:rsidRPr="00605DD0">
              <w:rPr>
                <w:rFonts w:asciiTheme="majorHAnsi" w:hAnsiTheme="majorHAnsi" w:cstheme="majorHAnsi"/>
                <w:lang w:val="ro-RO"/>
              </w:rPr>
              <w:t xml:space="preserve">I </w:t>
            </w:r>
            <w:bookmarkStart w:id="2" w:name="_Toc392180117"/>
            <w:bookmarkStart w:id="3" w:name="_Toc449539007"/>
            <w:r w:rsidR="00A20ACF" w:rsidRPr="00605DD0">
              <w:rPr>
                <w:rFonts w:asciiTheme="majorHAnsi" w:hAnsiTheme="majorHAnsi" w:cstheme="majorHAnsi"/>
                <w:lang w:val="ro-RO"/>
              </w:rPr>
              <w:t xml:space="preserve">INSTRUCŢIUNI PENTRU OFERTANŢI </w:t>
            </w:r>
            <w:bookmarkEnd w:id="2"/>
            <w:bookmarkEnd w:id="3"/>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4" w:name="_Toc392180118"/>
            <w:bookmarkStart w:id="5"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4"/>
            <w:bookmarkEnd w:id="5"/>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6" w:name="_Toc392180119"/>
            <w:bookmarkStart w:id="7" w:name="_Toc449539009"/>
            <w:r w:rsidRPr="00605DD0">
              <w:rPr>
                <w:rFonts w:cstheme="majorHAnsi"/>
                <w:color w:val="auto"/>
              </w:rPr>
              <w:t xml:space="preserve">Scopul procedurii de achiziție </w:t>
            </w:r>
            <w:bookmarkEnd w:id="6"/>
            <w:bookmarkEnd w:id="7"/>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8" w:name="_Toc392180120"/>
            <w:bookmarkStart w:id="9" w:name="_Toc449539010"/>
            <w:r w:rsidRPr="00605DD0">
              <w:rPr>
                <w:rFonts w:cstheme="majorHAnsi"/>
                <w:color w:val="auto"/>
              </w:rPr>
              <w:t>Principiile care stau la baza atribuirii contractului de achiziţie</w:t>
            </w:r>
            <w:bookmarkEnd w:id="8"/>
            <w:bookmarkEnd w:id="9"/>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605DD0">
              <w:rPr>
                <w:rFonts w:cstheme="majorHAnsi"/>
                <w:b w:val="0"/>
                <w:color w:val="auto"/>
              </w:rPr>
              <w:t>libera  concurenţă;</w:t>
            </w:r>
            <w:bookmarkEnd w:id="10"/>
            <w:bookmarkEnd w:id="11"/>
            <w:bookmarkEnd w:id="1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605DD0">
              <w:rPr>
                <w:rFonts w:cstheme="majorHAnsi"/>
                <w:b w:val="0"/>
                <w:color w:val="auto"/>
              </w:rPr>
              <w:t>eficienţa utilizării fondurilor publice și minimizarea riscurilor autorităților/entițălilor contractante;</w:t>
            </w:r>
            <w:bookmarkEnd w:id="13"/>
            <w:bookmarkEnd w:id="14"/>
            <w:bookmarkEnd w:id="15"/>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605DD0">
              <w:rPr>
                <w:rFonts w:cstheme="majorHAnsi"/>
                <w:b w:val="0"/>
                <w:color w:val="auto"/>
              </w:rPr>
              <w:t>transparenţa;</w:t>
            </w:r>
            <w:bookmarkEnd w:id="16"/>
            <w:bookmarkEnd w:id="17"/>
            <w:bookmarkEnd w:id="18"/>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605DD0">
              <w:rPr>
                <w:rFonts w:cstheme="majorHAnsi"/>
                <w:b w:val="0"/>
                <w:color w:val="auto"/>
              </w:rPr>
              <w:t>tratamentul egal, imparțial și nedescriminatoriu în privința tuturor ofertanților și operatorilor economici;</w:t>
            </w:r>
            <w:bookmarkEnd w:id="19"/>
            <w:bookmarkEnd w:id="20"/>
            <w:bookmarkEnd w:id="21"/>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2"/>
            <w:bookmarkEnd w:id="23"/>
            <w:bookmarkEnd w:id="24"/>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5" w:name="_Toc392180127"/>
            <w:bookmarkStart w:id="26" w:name="_Toc449539017"/>
            <w:r w:rsidRPr="00605DD0">
              <w:rPr>
                <w:rFonts w:cstheme="majorHAnsi"/>
                <w:color w:val="auto"/>
              </w:rPr>
              <w:t>Sursa de finanţare</w:t>
            </w:r>
            <w:bookmarkEnd w:id="25"/>
            <w:bookmarkEnd w:id="26"/>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7" w:name="_Toc449692020"/>
            <w:r w:rsidRPr="00605DD0">
              <w:rPr>
                <w:rFonts w:cstheme="majorHAnsi"/>
                <w:color w:val="auto"/>
              </w:rPr>
              <w:t>Legislația aplicabilă</w:t>
            </w:r>
            <w:bookmarkEnd w:id="27"/>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8" w:name="_Toc392180129"/>
            <w:bookmarkStart w:id="29" w:name="_Toc449539019"/>
            <w:r w:rsidRPr="00605DD0">
              <w:rPr>
                <w:rFonts w:cstheme="majorHAnsi"/>
                <w:color w:val="auto"/>
              </w:rPr>
              <w:t xml:space="preserve">Cheltuielile de participare la </w:t>
            </w:r>
            <w:bookmarkEnd w:id="28"/>
            <w:bookmarkEnd w:id="29"/>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0" w:name="_Toc392180130"/>
            <w:bookmarkStart w:id="31" w:name="_Toc449539020"/>
            <w:r w:rsidRPr="00605DD0">
              <w:rPr>
                <w:rFonts w:cstheme="majorHAnsi"/>
                <w:color w:val="auto"/>
              </w:rPr>
              <w:t>Limba de comunicare în cadrul licitaţiei</w:t>
            </w:r>
            <w:bookmarkEnd w:id="30"/>
            <w:bookmarkEnd w:id="31"/>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2" w:name="_Toc449692023"/>
            <w:r w:rsidRPr="00605DD0">
              <w:rPr>
                <w:rFonts w:cstheme="majorHAnsi"/>
                <w:color w:val="auto"/>
              </w:rPr>
              <w:t>Vizitarea  amplasamentului</w:t>
            </w:r>
            <w:bookmarkEnd w:id="32"/>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392180131"/>
            <w:bookmarkStart w:id="34" w:name="_Toc449539021"/>
            <w:r w:rsidRPr="00605DD0">
              <w:rPr>
                <w:rFonts w:cstheme="majorHAnsi"/>
                <w:color w:val="auto"/>
              </w:rPr>
              <w:t>Secţiunile Documentelor de atribuire</w:t>
            </w:r>
            <w:bookmarkEnd w:id="33"/>
            <w:bookmarkEnd w:id="34"/>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5" w:name="_Toc392180132"/>
            <w:bookmarkStart w:id="36" w:name="_Toc449539022"/>
            <w:r w:rsidRPr="00605DD0">
              <w:rPr>
                <w:rFonts w:cstheme="majorHAnsi"/>
                <w:color w:val="auto"/>
              </w:rPr>
              <w:t>Clarificarea şi modificarea documentelor de atribuire</w:t>
            </w:r>
            <w:bookmarkEnd w:id="35"/>
            <w:bookmarkEnd w:id="36"/>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7"/>
            <w:bookmarkEnd w:id="38"/>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2"/>
            <w:bookmarkEnd w:id="43"/>
            <w:bookmarkEnd w:id="44"/>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5" w:name="_Toc392179965"/>
            <w:bookmarkStart w:id="46" w:name="_Toc392180136"/>
            <w:bookmarkStart w:id="47"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0" w:name="_Toc392180141"/>
            <w:bookmarkStart w:id="61" w:name="_Toc449539031"/>
            <w:r w:rsidRPr="00605DD0">
              <w:rPr>
                <w:color w:val="auto"/>
              </w:rPr>
              <w:lastRenderedPageBreak/>
              <w:t>SECȚIUNEA B. CRITERII DE CALIFICARE</w:t>
            </w:r>
            <w:bookmarkEnd w:id="60"/>
            <w:bookmarkEnd w:id="6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2" w:name="_Toc392180142"/>
            <w:bookmarkStart w:id="63" w:name="_Toc449539032"/>
            <w:r w:rsidRPr="00605DD0">
              <w:rPr>
                <w:color w:val="auto"/>
              </w:rPr>
              <w:t>Criterii generale</w:t>
            </w:r>
            <w:bookmarkEnd w:id="62"/>
            <w:bookmarkEnd w:id="63"/>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4" w:name="_Toc392180143"/>
            <w:bookmarkStart w:id="65" w:name="_Toc449539033"/>
            <w:r w:rsidRPr="00605DD0">
              <w:rPr>
                <w:rFonts w:cstheme="majorHAnsi"/>
                <w:color w:val="auto"/>
              </w:rPr>
              <w:t>Eligibilitatea ofertantului</w:t>
            </w:r>
            <w:bookmarkEnd w:id="64"/>
            <w:bookmarkEnd w:id="65"/>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6" w:name="_Toc392180144"/>
            <w:bookmarkStart w:id="67" w:name="_Toc449539034"/>
            <w:r w:rsidRPr="00605DD0">
              <w:rPr>
                <w:rFonts w:cstheme="majorHAnsi"/>
                <w:color w:val="auto"/>
              </w:rPr>
              <w:t>Capacitatea de exercitare a activității profesionale</w:t>
            </w:r>
            <w:bookmarkEnd w:id="66"/>
            <w:bookmarkEnd w:id="67"/>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8" w:name="_Toc392180145"/>
            <w:bookmarkStart w:id="69" w:name="_Toc449539035"/>
            <w:r w:rsidRPr="00605DD0">
              <w:rPr>
                <w:rFonts w:cstheme="majorHAnsi"/>
                <w:color w:val="auto"/>
              </w:rPr>
              <w:t>Capacitatea economică şi financiară</w:t>
            </w:r>
            <w:bookmarkEnd w:id="68"/>
            <w:bookmarkEnd w:id="69"/>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0" w:name="_Toc392180146"/>
            <w:bookmarkStart w:id="71"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2" w:name="_Toc392180147"/>
            <w:bookmarkStart w:id="73" w:name="_Toc449539037"/>
            <w:bookmarkEnd w:id="70"/>
            <w:bookmarkEnd w:id="71"/>
            <w:r w:rsidRPr="00605DD0">
              <w:rPr>
                <w:rFonts w:cstheme="majorHAnsi"/>
                <w:color w:val="auto"/>
              </w:rPr>
              <w:t>Capacitate tehnică și/sau profesională</w:t>
            </w:r>
            <w:bookmarkEnd w:id="72"/>
            <w:bookmarkEnd w:id="73"/>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4" w:name="_Toc449692040"/>
            <w:r w:rsidRPr="00605DD0">
              <w:rPr>
                <w:color w:val="auto"/>
              </w:rPr>
              <w:t>Criterii de experienţă în cazul achiziției de lucrări</w:t>
            </w:r>
            <w:bookmarkEnd w:id="74"/>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5" w:name="_Toc392180149"/>
            <w:bookmarkStart w:id="76" w:name="_Toc449539039"/>
            <w:r w:rsidRPr="00605DD0">
              <w:rPr>
                <w:rFonts w:cstheme="majorHAnsi"/>
                <w:color w:val="auto"/>
              </w:rPr>
              <w:t>Standarde de asigurare a calităţii.</w:t>
            </w:r>
            <w:bookmarkEnd w:id="75"/>
            <w:bookmarkEnd w:id="76"/>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7" w:name="_Toc392180150"/>
            <w:bookmarkStart w:id="78" w:name="_Toc449539040"/>
            <w:r w:rsidRPr="00605DD0">
              <w:rPr>
                <w:color w:val="auto"/>
              </w:rPr>
              <w:t>Calificarea candidaților în cazul asocierii</w:t>
            </w:r>
            <w:bookmarkEnd w:id="77"/>
            <w:bookmarkEnd w:id="78"/>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79" w:name="_Toc392180151"/>
            <w:bookmarkStart w:id="80" w:name="_Toc449539041"/>
            <w:r w:rsidRPr="00605DD0">
              <w:rPr>
                <w:rFonts w:cstheme="majorHAnsi"/>
                <w:color w:val="auto"/>
                <w:sz w:val="24"/>
                <w:szCs w:val="24"/>
              </w:rPr>
              <w:lastRenderedPageBreak/>
              <w:t>SECȚIUNEA C. PREGĂTIREA OFERTELOR</w:t>
            </w:r>
            <w:bookmarkEnd w:id="79"/>
            <w:bookmarkEnd w:id="80"/>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1" w:name="_Toc392180152"/>
            <w:bookmarkStart w:id="82" w:name="_Toc449539042"/>
            <w:r w:rsidRPr="00605DD0">
              <w:rPr>
                <w:rFonts w:cstheme="majorHAnsi"/>
                <w:color w:val="auto"/>
              </w:rPr>
              <w:t>Documentele ce constituie oferta</w:t>
            </w:r>
            <w:bookmarkEnd w:id="81"/>
            <w:bookmarkEnd w:id="82"/>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3"/>
            <w:bookmarkEnd w:id="84"/>
            <w:bookmarkEnd w:id="85"/>
            <w:bookmarkEnd w:id="86"/>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2"/>
            <w:bookmarkEnd w:id="93"/>
            <w:bookmarkEnd w:id="94"/>
            <w:bookmarkEnd w:id="95"/>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605DD0">
              <w:rPr>
                <w:rFonts w:asciiTheme="majorHAnsi" w:hAnsiTheme="majorHAnsi" w:cstheme="majorHAnsi"/>
                <w:b w:val="0"/>
                <w:lang w:val="ro-RO"/>
              </w:rPr>
              <w:t>Oferta tehnică conform caietului de sarcini;</w:t>
            </w:r>
            <w:bookmarkEnd w:id="96"/>
            <w:bookmarkEnd w:id="97"/>
            <w:bookmarkEnd w:id="98"/>
            <w:bookmarkEnd w:id="99"/>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0"/>
            <w:bookmarkEnd w:id="101"/>
            <w:bookmarkEnd w:id="102"/>
            <w:bookmarkEnd w:id="103"/>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4" w:name="_Toc449692051"/>
            <w:r w:rsidRPr="00605DD0">
              <w:rPr>
                <w:rFonts w:asciiTheme="majorHAnsi" w:hAnsiTheme="majorHAnsi" w:cstheme="majorHAnsi"/>
                <w:lang w:val="ro-RO"/>
              </w:rPr>
              <w:t>Oferte alternative</w:t>
            </w:r>
            <w:bookmarkEnd w:id="104"/>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5" w:name="_Toc449692052"/>
            <w:r w:rsidRPr="00605DD0">
              <w:rPr>
                <w:rFonts w:asciiTheme="majorHAnsi" w:hAnsiTheme="majorHAnsi" w:cstheme="majorHAnsi"/>
                <w:lang w:val="ro-RO"/>
              </w:rPr>
              <w:t>Perioada de valabilitate a ofertei</w:t>
            </w:r>
            <w:bookmarkEnd w:id="105"/>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6"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6"/>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7"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7"/>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8"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8"/>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09" w:name="_Toc449692056"/>
            <w:r w:rsidRPr="00605DD0">
              <w:rPr>
                <w:rFonts w:asciiTheme="majorHAnsi" w:hAnsiTheme="majorHAnsi" w:cstheme="majorHAnsi"/>
                <w:lang w:val="ro-RO"/>
              </w:rPr>
              <w:t>Oferta financiară</w:t>
            </w:r>
            <w:bookmarkEnd w:id="109"/>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0" w:name="_Toc392180155"/>
            <w:bookmarkStart w:id="111" w:name="_Toc449539045"/>
            <w:r w:rsidRPr="00605DD0">
              <w:rPr>
                <w:rFonts w:cstheme="majorHAnsi"/>
                <w:color w:val="auto"/>
              </w:rPr>
              <w:t>Garanţia pentru ofertă</w:t>
            </w:r>
            <w:bookmarkEnd w:id="110"/>
            <w:bookmarkEnd w:id="111"/>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2" w:name="_Toc449692058"/>
            <w:r w:rsidRPr="00605DD0">
              <w:rPr>
                <w:rFonts w:cstheme="majorHAnsi"/>
                <w:color w:val="auto"/>
              </w:rPr>
              <w:t>Valuta ofertei</w:t>
            </w:r>
            <w:bookmarkEnd w:id="112"/>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3" w:name="_Toc392180159"/>
            <w:bookmarkStart w:id="114"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3"/>
            <w:bookmarkEnd w:id="114"/>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5" w:name="_Toc392180160"/>
            <w:bookmarkStart w:id="116"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5"/>
            <w:bookmarkEnd w:id="116"/>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7" w:name="_Toc392180161"/>
            <w:bookmarkStart w:id="118" w:name="_Toc449539051"/>
            <w:r w:rsidRPr="00605DD0">
              <w:rPr>
                <w:rFonts w:cstheme="majorHAnsi"/>
                <w:color w:val="auto"/>
              </w:rPr>
              <w:t>Depunerea ofertelor</w:t>
            </w:r>
            <w:bookmarkEnd w:id="117"/>
            <w:bookmarkEnd w:id="118"/>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19" w:name="_Toc392180162"/>
            <w:bookmarkStart w:id="120" w:name="_Toc449539052"/>
            <w:r w:rsidRPr="00605DD0">
              <w:rPr>
                <w:rFonts w:cstheme="majorHAnsi"/>
                <w:color w:val="auto"/>
              </w:rPr>
              <w:t xml:space="preserve">31. </w:t>
            </w:r>
            <w:r w:rsidR="00A20ACF" w:rsidRPr="00605DD0">
              <w:rPr>
                <w:rFonts w:cstheme="majorHAnsi"/>
                <w:color w:val="auto"/>
              </w:rPr>
              <w:t>Termenul limita de depunere a ofertelor</w:t>
            </w:r>
            <w:bookmarkEnd w:id="119"/>
            <w:bookmarkEnd w:id="120"/>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1" w:name="_Toc392180163"/>
            <w:bookmarkStart w:id="122" w:name="_Toc449539053"/>
            <w:r w:rsidRPr="00605DD0">
              <w:rPr>
                <w:rFonts w:cstheme="majorHAnsi"/>
                <w:color w:val="auto"/>
              </w:rPr>
              <w:t>Oferte întîrziate</w:t>
            </w:r>
            <w:bookmarkEnd w:id="121"/>
            <w:bookmarkEnd w:id="122"/>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3" w:name="_Toc449692065"/>
            <w:r w:rsidRPr="00605DD0">
              <w:rPr>
                <w:rFonts w:asciiTheme="majorHAnsi" w:hAnsiTheme="majorHAnsi" w:cstheme="majorHAnsi"/>
                <w:lang w:val="ro-RO"/>
              </w:rPr>
              <w:t>Oferta comună</w:t>
            </w:r>
            <w:bookmarkEnd w:id="123"/>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4"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4"/>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5" w:name="_Toc392180164"/>
            <w:bookmarkStart w:id="126" w:name="_Toc449539054"/>
            <w:r w:rsidRPr="00605DD0">
              <w:rPr>
                <w:rFonts w:cstheme="majorHAnsi"/>
                <w:color w:val="auto"/>
              </w:rPr>
              <w:t>Modificarea, substituirea şi retragerea ofertelor</w:t>
            </w:r>
            <w:bookmarkEnd w:id="125"/>
            <w:bookmarkEnd w:id="126"/>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7"/>
            <w:bookmarkEnd w:id="128"/>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29" w:name="_Toc392180166"/>
            <w:bookmarkStart w:id="130" w:name="_Toc449539056"/>
            <w:r w:rsidRPr="00605DD0">
              <w:rPr>
                <w:rFonts w:cstheme="majorHAnsi"/>
                <w:color w:val="auto"/>
                <w:sz w:val="24"/>
                <w:szCs w:val="24"/>
              </w:rPr>
              <w:lastRenderedPageBreak/>
              <w:t>SECȚIUNEA F. EVALUAREA ȘI COMPARAREA OFERTELOR</w:t>
            </w:r>
            <w:bookmarkEnd w:id="129"/>
            <w:bookmarkEnd w:id="130"/>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1" w:name="_Toc392180167"/>
            <w:bookmarkStart w:id="132" w:name="_Toc449539057"/>
            <w:r w:rsidRPr="00605DD0">
              <w:rPr>
                <w:rFonts w:cstheme="majorHAnsi"/>
                <w:color w:val="auto"/>
              </w:rPr>
              <w:t>Confidenţialitate</w:t>
            </w:r>
            <w:bookmarkEnd w:id="131"/>
            <w:bookmarkEnd w:id="132"/>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3" w:name="_Toc449692070"/>
            <w:r w:rsidRPr="00605DD0">
              <w:rPr>
                <w:rFonts w:cstheme="majorHAnsi"/>
                <w:color w:val="auto"/>
              </w:rPr>
              <w:t>Examinarea documentelor care însoțesc oferta</w:t>
            </w:r>
            <w:bookmarkEnd w:id="133"/>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1"/>
            <w:r w:rsidRPr="00605DD0">
              <w:rPr>
                <w:rFonts w:cstheme="majorHAnsi"/>
                <w:color w:val="auto"/>
              </w:rPr>
              <w:t>Examinarea ofertelor</w:t>
            </w:r>
            <w:bookmarkEnd w:id="134"/>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392180168"/>
            <w:bookmarkStart w:id="136" w:name="_Toc449539058"/>
            <w:r w:rsidRPr="00605DD0">
              <w:rPr>
                <w:rFonts w:cstheme="majorHAnsi"/>
                <w:color w:val="auto"/>
              </w:rPr>
              <w:t>Clarificarea ofertelor</w:t>
            </w:r>
            <w:bookmarkEnd w:id="135"/>
            <w:bookmarkEnd w:id="136"/>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7" w:name="_Toc392180169"/>
            <w:bookmarkStart w:id="138" w:name="_Toc449539059"/>
            <w:r w:rsidRPr="00605DD0">
              <w:rPr>
                <w:rFonts w:cstheme="majorHAnsi"/>
                <w:color w:val="auto"/>
              </w:rPr>
              <w:t>Determinarea conformităţii ofertelor</w:t>
            </w:r>
            <w:bookmarkEnd w:id="137"/>
            <w:bookmarkEnd w:id="138"/>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9" w:name="_Toc392180170"/>
            <w:bookmarkStart w:id="140" w:name="_Toc449539060"/>
            <w:r w:rsidRPr="00605DD0">
              <w:rPr>
                <w:rFonts w:cstheme="majorHAnsi"/>
                <w:color w:val="auto"/>
              </w:rPr>
              <w:t>Neconformităţi, erori şi omiteri</w:t>
            </w:r>
            <w:bookmarkEnd w:id="139"/>
            <w:bookmarkEnd w:id="140"/>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1" w:name="_Toc392180171"/>
            <w:bookmarkStart w:id="142" w:name="_Toc449539061"/>
            <w:r w:rsidRPr="00605DD0">
              <w:rPr>
                <w:rFonts w:cstheme="majorHAnsi"/>
                <w:color w:val="auto"/>
              </w:rPr>
              <w:t>Evaluarea ofertelor</w:t>
            </w:r>
            <w:bookmarkEnd w:id="141"/>
            <w:bookmarkEnd w:id="142"/>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3" w:name="_Toc392180173"/>
            <w:bookmarkStart w:id="144" w:name="_Toc449539063"/>
            <w:r w:rsidRPr="00605DD0">
              <w:rPr>
                <w:rFonts w:cstheme="majorHAnsi"/>
                <w:color w:val="auto"/>
              </w:rPr>
              <w:t>Descalificarea ofertantului</w:t>
            </w:r>
            <w:bookmarkEnd w:id="143"/>
            <w:bookmarkEnd w:id="144"/>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5" w:name="_Toc392180179"/>
            <w:bookmarkStart w:id="146" w:name="_Toc449539069"/>
            <w:r w:rsidRPr="00605DD0">
              <w:rPr>
                <w:color w:val="auto"/>
              </w:rPr>
              <w:lastRenderedPageBreak/>
              <w:t>SECȚIUNEA G.ADJUDECAREA CONTRACTULUI</w:t>
            </w:r>
            <w:bookmarkEnd w:id="145"/>
            <w:bookmarkEnd w:id="146"/>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7" w:name="_Toc392180180"/>
            <w:bookmarkStart w:id="148" w:name="_Toc449539070"/>
            <w:r w:rsidRPr="00605DD0">
              <w:rPr>
                <w:rFonts w:cstheme="majorHAnsi"/>
                <w:color w:val="auto"/>
              </w:rPr>
              <w:t>Criteriul de adjudecare</w:t>
            </w:r>
            <w:bookmarkEnd w:id="147"/>
            <w:bookmarkEnd w:id="148"/>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9" w:name="_Toc392180182"/>
            <w:bookmarkStart w:id="150" w:name="_Toc449539072"/>
            <w:r w:rsidRPr="00605DD0">
              <w:rPr>
                <w:rFonts w:cstheme="majorHAnsi"/>
                <w:color w:val="auto"/>
              </w:rPr>
              <w:t>Înştiinţarea de adjudecare</w:t>
            </w:r>
            <w:bookmarkEnd w:id="149"/>
            <w:bookmarkEnd w:id="150"/>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1" w:name="_Toc449692077"/>
            <w:r w:rsidRPr="00605DD0">
              <w:rPr>
                <w:rFonts w:asciiTheme="majorHAnsi" w:hAnsiTheme="majorHAnsi" w:cstheme="majorHAnsi"/>
                <w:lang w:val="ro-RO"/>
              </w:rPr>
              <w:t>Anularea aplicării procedurii pentru atribuirea contractului de achiziție publică</w:t>
            </w:r>
            <w:bookmarkEnd w:id="151"/>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2" w:name="_Toc392180183"/>
            <w:bookmarkStart w:id="153" w:name="_Toc449539073"/>
            <w:r w:rsidRPr="00605DD0">
              <w:rPr>
                <w:rFonts w:cstheme="majorHAnsi"/>
                <w:color w:val="auto"/>
              </w:rPr>
              <w:t>Garanţia de bună execuţie</w:t>
            </w:r>
            <w:bookmarkEnd w:id="152"/>
            <w:bookmarkEnd w:id="153"/>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4" w:name="_Toc392180184"/>
            <w:bookmarkStart w:id="155" w:name="_Toc449539074"/>
            <w:r w:rsidRPr="00605DD0">
              <w:rPr>
                <w:rFonts w:cstheme="majorHAnsi"/>
                <w:color w:val="auto"/>
              </w:rPr>
              <w:t>Semnarea contractului</w:t>
            </w:r>
            <w:bookmarkEnd w:id="154"/>
            <w:bookmarkEnd w:id="155"/>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6" w:name="_Toc392180186"/>
            <w:bookmarkStart w:id="157" w:name="_Toc449539076"/>
            <w:r w:rsidRPr="00605DD0">
              <w:rPr>
                <w:rFonts w:cstheme="majorHAnsi"/>
                <w:color w:val="auto"/>
              </w:rPr>
              <w:t>Dreptul de contestare</w:t>
            </w:r>
            <w:bookmarkEnd w:id="156"/>
            <w:bookmarkEnd w:id="157"/>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8" w:name="_Toc392180197"/>
            <w:bookmarkStart w:id="159"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8"/>
            <w:bookmarkEnd w:id="159"/>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0"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0"/>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1"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1"/>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2"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2"/>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3"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3"/>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4" w:name="_Toc449632652"/>
      <w:bookmarkStart w:id="165" w:name="_Toc449633144"/>
      <w:bookmarkStart w:id="166" w:name="_Toc449692099"/>
      <w:r w:rsidRPr="00605DD0">
        <w:rPr>
          <w:rFonts w:asciiTheme="majorHAnsi" w:hAnsiTheme="majorHAnsi" w:cstheme="majorHAnsi"/>
          <w:b/>
          <w:bCs/>
          <w:lang w:eastAsia="ro-RO"/>
        </w:rPr>
        <w:t>DECLARAŢIE</w:t>
      </w:r>
      <w:bookmarkEnd w:id="164"/>
      <w:bookmarkEnd w:id="165"/>
      <w:bookmarkEnd w:id="166"/>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7" w:name="_Toc449632653"/>
      <w:bookmarkStart w:id="168" w:name="_Toc449633145"/>
      <w:bookmarkStart w:id="169"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7"/>
      <w:bookmarkEnd w:id="168"/>
      <w:bookmarkEnd w:id="169"/>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0"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0"/>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1" w:name="_Toc449632655"/>
      <w:bookmarkStart w:id="172" w:name="_Toc449633147"/>
      <w:bookmarkStart w:id="173" w:name="_Toc449692102"/>
      <w:r w:rsidRPr="00605DD0">
        <w:rPr>
          <w:rFonts w:asciiTheme="majorHAnsi" w:eastAsia="PMingLiU" w:hAnsiTheme="majorHAnsi" w:cstheme="majorHAnsi"/>
          <w:b/>
          <w:bCs/>
          <w:iCs/>
          <w:lang w:eastAsia="zh-CN"/>
        </w:rPr>
        <w:t>DECLARAŢIE</w:t>
      </w:r>
      <w:bookmarkEnd w:id="171"/>
      <w:bookmarkEnd w:id="172"/>
      <w:bookmarkEnd w:id="173"/>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4" w:name="_Toc449632656"/>
      <w:bookmarkStart w:id="175" w:name="_Toc449633148"/>
      <w:bookmarkStart w:id="176" w:name="_Toc449692103"/>
      <w:r w:rsidRPr="00605DD0">
        <w:rPr>
          <w:rFonts w:asciiTheme="majorHAnsi" w:eastAsia="PMingLiU" w:hAnsiTheme="majorHAnsi" w:cstheme="majorHAnsi"/>
          <w:b/>
          <w:bCs/>
          <w:iCs/>
          <w:lang w:eastAsia="zh-CN"/>
        </w:rPr>
        <w:t>privind conduita etică și neimplicarea în practici frauduloase și de corupere</w:t>
      </w:r>
      <w:bookmarkEnd w:id="174"/>
      <w:bookmarkEnd w:id="175"/>
      <w:bookmarkEnd w:id="176"/>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7"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7"/>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8"/>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79" w:name="_Toc449632659"/>
      <w:bookmarkStart w:id="180" w:name="_Toc449633151"/>
      <w:bookmarkStart w:id="181" w:name="_Toc449692106"/>
      <w:r w:rsidRPr="00605DD0">
        <w:rPr>
          <w:rFonts w:cstheme="majorHAnsi"/>
          <w:color w:val="auto"/>
          <w:sz w:val="24"/>
          <w:szCs w:val="24"/>
        </w:rPr>
        <w:t>DECLARAŢIE</w:t>
      </w:r>
      <w:bookmarkEnd w:id="179"/>
      <w:bookmarkEnd w:id="180"/>
      <w:bookmarkEnd w:id="181"/>
    </w:p>
    <w:p w:rsidR="00AA1372" w:rsidRPr="00605DD0" w:rsidRDefault="00AA1372" w:rsidP="00B0183E">
      <w:pPr>
        <w:pStyle w:val="2"/>
        <w:tabs>
          <w:tab w:val="left" w:pos="567"/>
        </w:tabs>
        <w:jc w:val="center"/>
        <w:rPr>
          <w:rFonts w:cstheme="majorHAnsi"/>
          <w:color w:val="auto"/>
          <w:sz w:val="24"/>
          <w:szCs w:val="24"/>
        </w:rPr>
      </w:pPr>
      <w:bookmarkStart w:id="182" w:name="_Toc449632660"/>
      <w:bookmarkStart w:id="183" w:name="_Toc449633152"/>
      <w:bookmarkStart w:id="184" w:name="_Toc449692107"/>
      <w:r w:rsidRPr="00605DD0">
        <w:rPr>
          <w:rFonts w:cstheme="majorHAnsi"/>
          <w:color w:val="auto"/>
          <w:sz w:val="24"/>
          <w:szCs w:val="24"/>
        </w:rPr>
        <w:t>privind obligaţiile contractuale faţă de alţi beneficiari</w:t>
      </w:r>
      <w:bookmarkEnd w:id="182"/>
      <w:bookmarkEnd w:id="183"/>
      <w:bookmarkEnd w:id="184"/>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5"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5"/>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6"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6"/>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7"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7"/>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8" w:name="_Toc449632664"/>
      <w:bookmarkStart w:id="189" w:name="_Toc449633156"/>
      <w:bookmarkStart w:id="190" w:name="_Toc449692111"/>
      <w:r w:rsidRPr="00605DD0">
        <w:rPr>
          <w:rFonts w:asciiTheme="majorHAnsi" w:eastAsia="PMingLiU" w:hAnsiTheme="majorHAnsi" w:cstheme="majorHAnsi"/>
          <w:b/>
          <w:bCs/>
          <w:iCs/>
          <w:lang w:eastAsia="zh-CN"/>
        </w:rPr>
        <w:t>DECLARAŢIE</w:t>
      </w:r>
      <w:bookmarkEnd w:id="188"/>
      <w:bookmarkEnd w:id="189"/>
      <w:bookmarkEnd w:id="190"/>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1" w:name="_Toc449632665"/>
      <w:bookmarkStart w:id="192" w:name="_Toc449633157"/>
      <w:bookmarkStart w:id="193"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1"/>
      <w:bookmarkEnd w:id="192"/>
      <w:bookmarkEnd w:id="193"/>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4"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4"/>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5"/>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6"/>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9814E9" w:rsidRDefault="009451E2" w:rsidP="00A54AA0">
      <w:pPr>
        <w:tabs>
          <w:tab w:val="left" w:pos="567"/>
        </w:tabs>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9814E9" w:rsidRDefault="009814E9" w:rsidP="00A54AA0">
      <w:pPr>
        <w:tabs>
          <w:tab w:val="left" w:pos="567"/>
        </w:tabs>
        <w:jc w:val="both"/>
        <w:rPr>
          <w:rFonts w:asciiTheme="majorHAnsi" w:eastAsia="PMingLiU" w:hAnsiTheme="majorHAnsi" w:cstheme="majorHAnsi"/>
          <w:lang w:eastAsia="zh-CN"/>
        </w:rPr>
      </w:pPr>
    </w:p>
    <w:p w:rsidR="00AA1372" w:rsidRPr="00A54AA0" w:rsidRDefault="00AA1372" w:rsidP="00A54AA0">
      <w:pPr>
        <w:tabs>
          <w:tab w:val="left" w:pos="567"/>
        </w:tabs>
        <w:jc w:val="both"/>
        <w:rPr>
          <w:rFonts w:asciiTheme="majorHAnsi" w:hAnsiTheme="majorHAnsi" w:cstheme="majorHAnsi"/>
          <w:b/>
        </w:rPr>
      </w:pPr>
      <w:bookmarkStart w:id="197" w:name="_GoBack"/>
      <w:bookmarkEnd w:id="197"/>
      <w:r w:rsidRPr="00605DD0">
        <w:rPr>
          <w:rFonts w:asciiTheme="majorHAnsi" w:eastAsia="PMingLiU" w:hAnsiTheme="majorHAnsi" w:cstheme="majorHAnsi"/>
          <w:lang w:eastAsia="zh-CN"/>
        </w:rPr>
        <w:t xml:space="preserve">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496" w:rsidRDefault="00EC3496" w:rsidP="00A20ACF">
      <w:r>
        <w:separator/>
      </w:r>
    </w:p>
  </w:endnote>
  <w:endnote w:type="continuationSeparator" w:id="0">
    <w:p w:rsidR="00EC3496" w:rsidRDefault="00EC34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496" w:rsidRDefault="00EC3496" w:rsidP="00A20ACF">
      <w:r>
        <w:separator/>
      </w:r>
    </w:p>
  </w:footnote>
  <w:footnote w:type="continuationSeparator" w:id="0">
    <w:p w:rsidR="00EC3496" w:rsidRDefault="00EC349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4F52"/>
    <w:rsid w:val="001F6E5A"/>
    <w:rsid w:val="00200D35"/>
    <w:rsid w:val="00201387"/>
    <w:rsid w:val="00205404"/>
    <w:rsid w:val="002076FA"/>
    <w:rsid w:val="002221ED"/>
    <w:rsid w:val="0022479E"/>
    <w:rsid w:val="002253A6"/>
    <w:rsid w:val="00232D6D"/>
    <w:rsid w:val="00233398"/>
    <w:rsid w:val="00233538"/>
    <w:rsid w:val="00234721"/>
    <w:rsid w:val="0025047E"/>
    <w:rsid w:val="002538AB"/>
    <w:rsid w:val="002573B2"/>
    <w:rsid w:val="002673C1"/>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71CC9"/>
    <w:rsid w:val="004807F8"/>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6E60"/>
    <w:rsid w:val="00570670"/>
    <w:rsid w:val="005B0E74"/>
    <w:rsid w:val="005B4853"/>
    <w:rsid w:val="005D708F"/>
    <w:rsid w:val="005E5A05"/>
    <w:rsid w:val="005E6B4A"/>
    <w:rsid w:val="005F0439"/>
    <w:rsid w:val="00601B8F"/>
    <w:rsid w:val="00605DD0"/>
    <w:rsid w:val="0060606F"/>
    <w:rsid w:val="00612081"/>
    <w:rsid w:val="006234C1"/>
    <w:rsid w:val="00627D01"/>
    <w:rsid w:val="00634A31"/>
    <w:rsid w:val="00642DC2"/>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512F1"/>
    <w:rsid w:val="0077101F"/>
    <w:rsid w:val="0077441B"/>
    <w:rsid w:val="00786D70"/>
    <w:rsid w:val="0079507E"/>
    <w:rsid w:val="007A2F41"/>
    <w:rsid w:val="007A6D74"/>
    <w:rsid w:val="007B1E26"/>
    <w:rsid w:val="007B53EA"/>
    <w:rsid w:val="007C752D"/>
    <w:rsid w:val="007D1D70"/>
    <w:rsid w:val="007D6899"/>
    <w:rsid w:val="007E45A2"/>
    <w:rsid w:val="007E533B"/>
    <w:rsid w:val="007E7B83"/>
    <w:rsid w:val="007E7E87"/>
    <w:rsid w:val="007F6980"/>
    <w:rsid w:val="00805F48"/>
    <w:rsid w:val="00806E2B"/>
    <w:rsid w:val="0081794A"/>
    <w:rsid w:val="008202F4"/>
    <w:rsid w:val="00832C13"/>
    <w:rsid w:val="008409E3"/>
    <w:rsid w:val="00845320"/>
    <w:rsid w:val="00852DB5"/>
    <w:rsid w:val="00863AAB"/>
    <w:rsid w:val="00867DA9"/>
    <w:rsid w:val="00873EA6"/>
    <w:rsid w:val="00881C9F"/>
    <w:rsid w:val="008A54A7"/>
    <w:rsid w:val="008D1ADB"/>
    <w:rsid w:val="008E005E"/>
    <w:rsid w:val="008E7D0D"/>
    <w:rsid w:val="008F5C61"/>
    <w:rsid w:val="008F7D75"/>
    <w:rsid w:val="00905255"/>
    <w:rsid w:val="00910E9A"/>
    <w:rsid w:val="00915A97"/>
    <w:rsid w:val="00924FAD"/>
    <w:rsid w:val="009337E1"/>
    <w:rsid w:val="00944E16"/>
    <w:rsid w:val="009451E2"/>
    <w:rsid w:val="009530EF"/>
    <w:rsid w:val="009626BA"/>
    <w:rsid w:val="009666F7"/>
    <w:rsid w:val="00970B67"/>
    <w:rsid w:val="009747EF"/>
    <w:rsid w:val="009814E9"/>
    <w:rsid w:val="00981C6E"/>
    <w:rsid w:val="00983C29"/>
    <w:rsid w:val="009841CC"/>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4AA0"/>
    <w:rsid w:val="00A56DD7"/>
    <w:rsid w:val="00A6007D"/>
    <w:rsid w:val="00A66664"/>
    <w:rsid w:val="00A763EB"/>
    <w:rsid w:val="00A76B48"/>
    <w:rsid w:val="00A84B21"/>
    <w:rsid w:val="00A875CF"/>
    <w:rsid w:val="00AA1372"/>
    <w:rsid w:val="00AB6F4C"/>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92FD0"/>
    <w:rsid w:val="00B94D54"/>
    <w:rsid w:val="00BC2A6C"/>
    <w:rsid w:val="00BC6269"/>
    <w:rsid w:val="00BD36A5"/>
    <w:rsid w:val="00BE2C93"/>
    <w:rsid w:val="00BE48D7"/>
    <w:rsid w:val="00BF2BE1"/>
    <w:rsid w:val="00BF5BF3"/>
    <w:rsid w:val="00C01A04"/>
    <w:rsid w:val="00C12A49"/>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24C2"/>
    <w:rsid w:val="00EC3496"/>
    <w:rsid w:val="00EC751A"/>
    <w:rsid w:val="00ED1816"/>
    <w:rsid w:val="00ED2398"/>
    <w:rsid w:val="00ED3247"/>
    <w:rsid w:val="00EE204E"/>
    <w:rsid w:val="00F02902"/>
    <w:rsid w:val="00F225DA"/>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39</Pages>
  <Words>11824</Words>
  <Characters>67401</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Admin1</cp:lastModifiedBy>
  <cp:revision>40</cp:revision>
  <cp:lastPrinted>2019-07-24T06:49:00Z</cp:lastPrinted>
  <dcterms:created xsi:type="dcterms:W3CDTF">2018-10-17T10:49:00Z</dcterms:created>
  <dcterms:modified xsi:type="dcterms:W3CDTF">2021-03-19T18:46:00Z</dcterms:modified>
</cp:coreProperties>
</file>