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49" w:rsidRPr="004225A2" w:rsidRDefault="00230749" w:rsidP="009B049B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230749" w:rsidRDefault="00230749" w:rsidP="009B049B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Pr="00204350">
        <w:rPr>
          <w:b/>
          <w:sz w:val="24"/>
          <w:szCs w:val="24"/>
          <w:lang w:val="ro-RO"/>
        </w:rPr>
        <w:t>produselor de curățenie</w:t>
      </w:r>
    </w:p>
    <w:p w:rsidR="00230749" w:rsidRDefault="00230749" w:rsidP="009B049B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</w:t>
      </w:r>
      <w:r w:rsidR="00173BC7">
        <w:rPr>
          <w:b/>
          <w:sz w:val="24"/>
          <w:szCs w:val="24"/>
          <w:lang w:val="ro-MD"/>
        </w:rPr>
        <w:t>prin contract de valoare mică</w:t>
      </w:r>
    </w:p>
    <w:p w:rsidR="00733A22" w:rsidRDefault="00733A22" w:rsidP="009B049B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cod CPV: 39800000-0</w:t>
      </w:r>
    </w:p>
    <w:p w:rsidR="00230749" w:rsidRPr="004225A2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230749" w:rsidRPr="004225A2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230749" w:rsidRPr="004225A2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Pr="00385346">
        <w:rPr>
          <w:b/>
          <w:i/>
          <w:sz w:val="24"/>
          <w:szCs w:val="24"/>
          <w:u w:val="single"/>
          <w:lang w:val="ro-MD"/>
        </w:rPr>
        <w:t>mun Chișinău, str. Constantin Vîrnav, 16</w:t>
      </w:r>
    </w:p>
    <w:p w:rsidR="00230749" w:rsidRPr="004225A2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30749" w:rsidRPr="00BF071E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183ADE">
        <w:rPr>
          <w:rStyle w:val="Hyperlink"/>
          <w:b/>
          <w:sz w:val="24"/>
          <w:szCs w:val="24"/>
          <w:lang w:val="ro-MD"/>
        </w:rPr>
        <w:fldChar w:fldCharType="begin"/>
      </w:r>
      <w:r w:rsidR="00183ADE">
        <w:rPr>
          <w:rStyle w:val="Hyperlink"/>
          <w:b/>
          <w:sz w:val="24"/>
          <w:szCs w:val="24"/>
          <w:lang w:val="ro-MD"/>
        </w:rPr>
        <w:instrText xml:space="preserve"> HYPERLINK "mailto:cnamup@ambulanta.md" </w:instrText>
      </w:r>
      <w:r w:rsidR="00183ADE">
        <w:rPr>
          <w:rStyle w:val="Hyperlink"/>
          <w:b/>
          <w:sz w:val="24"/>
          <w:szCs w:val="24"/>
          <w:lang w:val="ro-MD"/>
        </w:rPr>
        <w:fldChar w:fldCharType="separate"/>
      </w:r>
      <w:r w:rsidRPr="00BF071E">
        <w:rPr>
          <w:rStyle w:val="Hyperlink"/>
          <w:b/>
          <w:sz w:val="24"/>
          <w:szCs w:val="24"/>
          <w:lang w:val="ro-MD"/>
        </w:rPr>
        <w:t>cnamup@ambulanta.md</w:t>
      </w:r>
      <w:r w:rsidR="00183ADE">
        <w:rPr>
          <w:rStyle w:val="Hyperlink"/>
          <w:b/>
          <w:sz w:val="24"/>
          <w:szCs w:val="24"/>
          <w:lang w:val="ro-MD"/>
        </w:rPr>
        <w:fldChar w:fldCharType="end"/>
      </w:r>
      <w:r w:rsidRPr="00BF071E">
        <w:rPr>
          <w:b/>
          <w:sz w:val="24"/>
          <w:szCs w:val="24"/>
          <w:u w:val="single"/>
          <w:lang w:val="ro-MD"/>
        </w:rPr>
        <w:t xml:space="preserve"> / </w:t>
      </w:r>
      <w:r w:rsidR="00183ADE">
        <w:rPr>
          <w:rStyle w:val="Hyperlink"/>
          <w:b/>
          <w:sz w:val="24"/>
          <w:szCs w:val="24"/>
          <w:lang w:val="ro-MD"/>
        </w:rPr>
        <w:fldChar w:fldCharType="begin"/>
      </w:r>
      <w:r w:rsidR="00183ADE">
        <w:rPr>
          <w:rStyle w:val="Hyperlink"/>
          <w:b/>
          <w:sz w:val="24"/>
          <w:szCs w:val="24"/>
          <w:lang w:val="ro-MD"/>
        </w:rPr>
        <w:instrText xml:space="preserve"> HYPERLINK "http://www.ambulanta.md" </w:instrText>
      </w:r>
      <w:r w:rsidR="00183ADE">
        <w:rPr>
          <w:rStyle w:val="Hyperlink"/>
          <w:b/>
          <w:sz w:val="24"/>
          <w:szCs w:val="24"/>
          <w:lang w:val="ro-MD"/>
        </w:rPr>
        <w:fldChar w:fldCharType="separate"/>
      </w:r>
      <w:r w:rsidRPr="006B666B">
        <w:rPr>
          <w:rStyle w:val="Hyperlink"/>
          <w:b/>
          <w:sz w:val="24"/>
          <w:szCs w:val="24"/>
          <w:lang w:val="ro-MD"/>
        </w:rPr>
        <w:t>www.ambulanta.md</w:t>
      </w:r>
      <w:r w:rsidR="00183ADE">
        <w:rPr>
          <w:rStyle w:val="Hyperlink"/>
          <w:b/>
          <w:sz w:val="24"/>
          <w:szCs w:val="24"/>
          <w:lang w:val="ro-MD"/>
        </w:rPr>
        <w:fldChar w:fldCharType="end"/>
      </w:r>
      <w:r w:rsidRPr="006B666B">
        <w:rPr>
          <w:b/>
          <w:sz w:val="24"/>
          <w:szCs w:val="24"/>
          <w:lang w:val="ro-MD"/>
        </w:rPr>
        <w:t xml:space="preserve"> </w:t>
      </w:r>
    </w:p>
    <w:p w:rsidR="00230749" w:rsidRPr="00BF071E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="00183ADE">
        <w:rPr>
          <w:rStyle w:val="Hyperlink"/>
          <w:b/>
          <w:sz w:val="24"/>
          <w:szCs w:val="24"/>
          <w:lang w:val="ro-MD"/>
        </w:rPr>
        <w:fldChar w:fldCharType="begin"/>
      </w:r>
      <w:r w:rsidR="00183ADE">
        <w:rPr>
          <w:rStyle w:val="Hyperlink"/>
          <w:b/>
          <w:sz w:val="24"/>
          <w:szCs w:val="24"/>
          <w:lang w:val="ro-MD"/>
        </w:rPr>
        <w:instrText xml:space="preserve"> HYPERLINK "mailto:cnamup.achizitii@ambulanta.md" </w:instrText>
      </w:r>
      <w:r w:rsidR="00183ADE">
        <w:rPr>
          <w:rStyle w:val="Hyperlink"/>
          <w:b/>
          <w:sz w:val="24"/>
          <w:szCs w:val="24"/>
          <w:lang w:val="ro-MD"/>
        </w:rPr>
        <w:fldChar w:fldCharType="separate"/>
      </w:r>
      <w:r w:rsidRPr="00BF071E">
        <w:rPr>
          <w:rStyle w:val="Hyperlink"/>
          <w:b/>
          <w:sz w:val="24"/>
          <w:szCs w:val="24"/>
          <w:lang w:val="ro-MD"/>
        </w:rPr>
        <w:t>cnamup.achizitii@ambulanta.md</w:t>
      </w:r>
      <w:r w:rsidR="00183ADE">
        <w:rPr>
          <w:rStyle w:val="Hyperlink"/>
          <w:b/>
          <w:sz w:val="24"/>
          <w:szCs w:val="24"/>
          <w:lang w:val="ro-MD"/>
        </w:rPr>
        <w:fldChar w:fldCharType="end"/>
      </w:r>
      <w:r w:rsidRPr="00BF071E">
        <w:rPr>
          <w:b/>
          <w:sz w:val="24"/>
          <w:szCs w:val="24"/>
          <w:u w:val="single"/>
          <w:lang w:val="ro-MD"/>
        </w:rPr>
        <w:t xml:space="preserve"> / </w:t>
      </w:r>
      <w:r w:rsidR="00183ADE">
        <w:rPr>
          <w:rStyle w:val="Hyperlink"/>
          <w:b/>
          <w:sz w:val="24"/>
          <w:szCs w:val="24"/>
          <w:lang w:val="ro-MD"/>
        </w:rPr>
        <w:fldChar w:fldCharType="begin"/>
      </w:r>
      <w:r w:rsidR="00183ADE">
        <w:rPr>
          <w:rStyle w:val="Hyperlink"/>
          <w:b/>
          <w:sz w:val="24"/>
          <w:szCs w:val="24"/>
          <w:lang w:val="ro-MD"/>
        </w:rPr>
        <w:instrText xml:space="preserve"> HYPERLINK "http://www.e-licitatie.md" </w:instrText>
      </w:r>
      <w:r w:rsidR="00183ADE">
        <w:rPr>
          <w:rStyle w:val="Hyperlink"/>
          <w:b/>
          <w:sz w:val="24"/>
          <w:szCs w:val="24"/>
          <w:lang w:val="ro-MD"/>
        </w:rPr>
        <w:fldChar w:fldCharType="separate"/>
      </w:r>
      <w:r w:rsidRPr="00BF071E">
        <w:rPr>
          <w:rStyle w:val="Hyperlink"/>
          <w:b/>
          <w:sz w:val="24"/>
          <w:szCs w:val="24"/>
          <w:lang w:val="ro-MD"/>
        </w:rPr>
        <w:t>www.e-licitatie.md</w:t>
      </w:r>
      <w:r w:rsidR="00183ADE">
        <w:rPr>
          <w:rStyle w:val="Hyperlink"/>
          <w:b/>
          <w:sz w:val="24"/>
          <w:szCs w:val="24"/>
          <w:lang w:val="ro-MD"/>
        </w:rPr>
        <w:fldChar w:fldCharType="end"/>
      </w:r>
      <w:r w:rsidRPr="00BF071E">
        <w:rPr>
          <w:b/>
          <w:sz w:val="24"/>
          <w:szCs w:val="24"/>
          <w:u w:val="single"/>
          <w:lang w:val="ro-MD"/>
        </w:rPr>
        <w:t xml:space="preserve"> / </w:t>
      </w:r>
      <w:r w:rsidR="00183ADE">
        <w:rPr>
          <w:rStyle w:val="Hyperlink"/>
          <w:b/>
          <w:sz w:val="24"/>
          <w:szCs w:val="24"/>
          <w:lang w:val="ro-MD"/>
        </w:rPr>
        <w:fldChar w:fldCharType="begin"/>
      </w:r>
      <w:r w:rsidR="00183ADE">
        <w:rPr>
          <w:rStyle w:val="Hyperlink"/>
          <w:b/>
          <w:sz w:val="24"/>
          <w:szCs w:val="24"/>
          <w:lang w:val="ro-MD"/>
        </w:rPr>
        <w:instrText xml:space="preserve"> HYPERLINK "http://www.mtender.gov.md" </w:instrText>
      </w:r>
      <w:r w:rsidR="00183ADE">
        <w:rPr>
          <w:rStyle w:val="Hyperlink"/>
          <w:b/>
          <w:sz w:val="24"/>
          <w:szCs w:val="24"/>
          <w:lang w:val="ro-MD"/>
        </w:rPr>
        <w:fldChar w:fldCharType="separate"/>
      </w:r>
      <w:r w:rsidRPr="00BF071E">
        <w:rPr>
          <w:rStyle w:val="Hyperlink"/>
          <w:b/>
          <w:sz w:val="24"/>
          <w:szCs w:val="24"/>
          <w:lang w:val="ro-MD"/>
        </w:rPr>
        <w:t>www.mtender.gov.md</w:t>
      </w:r>
      <w:r w:rsidR="00183ADE">
        <w:rPr>
          <w:rStyle w:val="Hyperlink"/>
          <w:b/>
          <w:sz w:val="24"/>
          <w:szCs w:val="24"/>
          <w:lang w:val="ro-MD"/>
        </w:rPr>
        <w:fldChar w:fldCharType="end"/>
      </w:r>
      <w:r w:rsidRPr="00BF071E">
        <w:rPr>
          <w:b/>
          <w:sz w:val="24"/>
          <w:szCs w:val="24"/>
          <w:u w:val="single"/>
          <w:lang w:val="ro-MD"/>
        </w:rPr>
        <w:t xml:space="preserve"> (</w:t>
      </w:r>
      <w:r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Pr="00BF071E">
        <w:rPr>
          <w:b/>
          <w:sz w:val="24"/>
          <w:szCs w:val="24"/>
          <w:u w:val="single"/>
          <w:lang w:val="ro-MD"/>
        </w:rPr>
        <w:t>)</w:t>
      </w:r>
    </w:p>
    <w:p w:rsidR="00230749" w:rsidRPr="004225A2" w:rsidRDefault="00230749" w:rsidP="00230749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Tipul autorității contractante și obiectul principal de activitate:</w:t>
      </w:r>
      <w:r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4C7740" w:rsidRPr="00323F0E" w:rsidRDefault="00230749" w:rsidP="00A457A4">
      <w:pPr>
        <w:numPr>
          <w:ilvl w:val="0"/>
          <w:numId w:val="1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</w:t>
      </w:r>
      <w:r w:rsidR="00173BC7">
        <w:rPr>
          <w:b/>
          <w:sz w:val="24"/>
          <w:szCs w:val="24"/>
          <w:lang w:val="ro-MD"/>
        </w:rPr>
        <w:t>re îi pot îndeplini cerințele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>
        <w:rPr>
          <w:b/>
          <w:sz w:val="24"/>
          <w:szCs w:val="24"/>
          <w:lang w:val="ro-MD"/>
        </w:rPr>
        <w:t xml:space="preserve"> următoarelor bunuri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Style w:val="TableGrid1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568"/>
        <w:gridCol w:w="1502"/>
        <w:gridCol w:w="4593"/>
        <w:gridCol w:w="627"/>
        <w:gridCol w:w="1080"/>
        <w:gridCol w:w="1031"/>
      </w:tblGrid>
      <w:tr w:rsidR="004012A5" w:rsidRPr="004012A5" w:rsidTr="00E231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733A22">
            <w:pPr>
              <w:jc w:val="center"/>
              <w:rPr>
                <w:rFonts w:eastAsia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Nr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.</w:t>
            </w:r>
            <w:r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 lot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733A22">
            <w:pPr>
              <w:jc w:val="center"/>
              <w:rPr>
                <w:rFonts w:eastAsia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Denumire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produs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b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Specificații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tehnice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caracteristici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descriere</w:t>
            </w:r>
            <w:proofErr w:type="spellEnd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produs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Theme="minorHAnsi"/>
                <w:b/>
                <w:sz w:val="18"/>
                <w:szCs w:val="18"/>
                <w:lang w:eastAsia="en-GB"/>
              </w:rPr>
              <w:t>U.</w:t>
            </w:r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M</w:t>
            </w:r>
            <w:r>
              <w:rPr>
                <w:rFonts w:eastAsia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012A5">
            <w:pPr>
              <w:jc w:val="center"/>
              <w:rPr>
                <w:rFonts w:eastAsia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b/>
                <w:sz w:val="18"/>
                <w:szCs w:val="18"/>
                <w:lang w:eastAsia="en-GB"/>
              </w:rPr>
              <w:t>Cantit</w:t>
            </w:r>
            <w:r w:rsidRPr="00C95681">
              <w:rPr>
                <w:rFonts w:eastAsiaTheme="minorHAnsi"/>
                <w:b/>
                <w:sz w:val="18"/>
                <w:szCs w:val="18"/>
                <w:lang w:eastAsia="en-GB"/>
              </w:rPr>
              <w:t>atea</w:t>
            </w:r>
            <w:proofErr w:type="spellEnd"/>
          </w:p>
        </w:tc>
        <w:tc>
          <w:tcPr>
            <w:tcW w:w="1031" w:type="dxa"/>
          </w:tcPr>
          <w:p w:rsidR="004012A5" w:rsidRPr="004C7740" w:rsidRDefault="004012A5" w:rsidP="00733A22">
            <w:pPr>
              <w:ind w:right="-23"/>
              <w:jc w:val="center"/>
              <w:rPr>
                <w:rFonts w:eastAsiaTheme="minorHAnsi"/>
                <w:b/>
                <w:sz w:val="18"/>
                <w:szCs w:val="18"/>
                <w:lang w:val="ro-RO" w:eastAsia="en-US"/>
              </w:rPr>
            </w:pPr>
            <w:r w:rsidRPr="004C7740">
              <w:rPr>
                <w:rFonts w:eastAsiaTheme="minorHAnsi"/>
                <w:b/>
                <w:sz w:val="18"/>
                <w:szCs w:val="18"/>
                <w:lang w:val="ro-RO" w:eastAsia="en-US"/>
              </w:rPr>
              <w:t xml:space="preserve">Suma </w:t>
            </w:r>
            <w:r w:rsidRPr="004012A5">
              <w:rPr>
                <w:rFonts w:eastAsiaTheme="minorHAnsi"/>
                <w:b/>
                <w:sz w:val="18"/>
                <w:szCs w:val="18"/>
                <w:lang w:val="ro-MD" w:eastAsia="en-US"/>
              </w:rPr>
              <w:t>estimativă</w:t>
            </w:r>
            <w:r w:rsidRPr="004012A5">
              <w:rPr>
                <w:rFonts w:eastAsiaTheme="minorHAnsi"/>
                <w:b/>
                <w:sz w:val="18"/>
                <w:szCs w:val="18"/>
                <w:lang w:val="ro-RO" w:eastAsia="en-US"/>
              </w:rPr>
              <w:t xml:space="preserve"> </w:t>
            </w:r>
            <w:r w:rsidRPr="004C7740">
              <w:rPr>
                <w:rFonts w:eastAsiaTheme="minorHAnsi"/>
                <w:b/>
                <w:sz w:val="18"/>
                <w:szCs w:val="18"/>
                <w:lang w:val="ro-RO" w:eastAsia="en-US"/>
              </w:rPr>
              <w:t>total</w:t>
            </w:r>
            <w:r w:rsidRPr="00C95681">
              <w:rPr>
                <w:rFonts w:eastAsiaTheme="minorHAnsi"/>
                <w:b/>
                <w:sz w:val="18"/>
                <w:szCs w:val="18"/>
                <w:lang w:val="ro-RO" w:eastAsia="en-US"/>
              </w:rPr>
              <w:t>ă</w:t>
            </w:r>
            <w:r w:rsidRPr="004C7740">
              <w:rPr>
                <w:rFonts w:eastAsiaTheme="minorHAnsi"/>
                <w:b/>
                <w:sz w:val="18"/>
                <w:szCs w:val="18"/>
                <w:lang w:val="ro-RO" w:eastAsia="en-US"/>
              </w:rPr>
              <w:t xml:space="preserve"> </w:t>
            </w:r>
            <w:r w:rsidRPr="00C95681">
              <w:rPr>
                <w:rFonts w:eastAsiaTheme="minorHAnsi"/>
                <w:b/>
                <w:sz w:val="18"/>
                <w:szCs w:val="18"/>
                <w:lang w:val="ro-RO" w:eastAsia="en-US"/>
              </w:rPr>
              <w:t xml:space="preserve">fără </w:t>
            </w:r>
            <w:r w:rsidRPr="004C7740">
              <w:rPr>
                <w:rFonts w:eastAsiaTheme="minorHAnsi"/>
                <w:b/>
                <w:sz w:val="18"/>
                <w:szCs w:val="18"/>
                <w:lang w:val="ro-RO" w:eastAsia="en-US"/>
              </w:rPr>
              <w:t>TVA</w:t>
            </w:r>
          </w:p>
        </w:tc>
      </w:tr>
      <w:tr w:rsidR="004012A5" w:rsidRPr="004C7740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Burete</w:t>
            </w:r>
            <w:proofErr w:type="spellEnd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pentr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vase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Burete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universal din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poliuretan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pentru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spălare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vase,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curăț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area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chiuvetei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blatului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de masa etc.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Dimensiuni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minime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: 8,5x6,0x3,7 cm;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1 set =10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bucăți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331506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>
              <w:rPr>
                <w:rFonts w:eastAsiaTheme="minorHAnsi"/>
                <w:sz w:val="18"/>
                <w:szCs w:val="18"/>
                <w:lang w:val="ro-RO" w:eastAsia="en-US"/>
              </w:rPr>
              <w:t>3673,00</w:t>
            </w:r>
          </w:p>
        </w:tc>
      </w:tr>
      <w:tr w:rsidR="004012A5" w:rsidRPr="00161E48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r w:rsidRPr="00C95681">
              <w:rPr>
                <w:rFonts w:eastAsiaTheme="minorHAnsi"/>
                <w:sz w:val="18"/>
                <w:szCs w:val="18"/>
                <w:lang w:eastAsia="en-GB"/>
              </w:rPr>
              <w:t xml:space="preserve">Detergent </w:t>
            </w: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pentr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vase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Soluție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spălarea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manuală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forma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lichidă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concentrată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pentru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inlăturarea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tuturor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grăsimilor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murdă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riilor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cu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substanțe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protecția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pielii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˂5%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surfactanti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neionici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gliceryne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15 -25% surfactant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anionici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parfum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colorant,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methylchloroiazolinone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mbalaj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: recipient,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min. 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1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litru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6750,00</w:t>
            </w:r>
          </w:p>
        </w:tc>
      </w:tr>
      <w:tr w:rsidR="004012A5" w:rsidRPr="00161E48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2F5DEA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 xml:space="preserve"> gel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dezinfectant</w:t>
            </w:r>
            <w:proofErr w:type="spellEnd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pentr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WC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Soluție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-gel</w:t>
            </w:r>
            <w:r w:rsidRPr="00C95681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d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ezinfectantă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înălbitoare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cu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vâscozitate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înaltă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care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d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istruge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microbii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bacteriile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Compoziție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: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ur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f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actanti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neionici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saractanti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cationici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parfum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să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pun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 (2</w:t>
            </w:r>
            <w:proofErr w:type="gram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,4</w:t>
            </w:r>
            <w:proofErr w:type="gram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-dichlorophenoxy ) phenol,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apă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deionizată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 acid citric,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alcool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etoxilat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colorant. A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re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proprietăți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îndepărtare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depunerilo</w:t>
            </w:r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r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de calcar,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urină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și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murdărie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mbalaj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: recipient cu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volum</w:t>
            </w:r>
            <w:proofErr w:type="spellEnd"/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  <w:r w:rsidRPr="004C7740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750 ml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6462,00</w:t>
            </w:r>
          </w:p>
        </w:tc>
      </w:tr>
      <w:tr w:rsidR="004012A5" w:rsidRPr="00161E48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Mănuși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menaj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C71056" w:rsidP="006C2594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Mănuși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pentru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uz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casnic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realizate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din latex,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rezistente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detergenti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si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dezinfectanti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casnici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pentru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protectia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mîinilor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Mărimi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: M, L, XL.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Unitatea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masura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perechi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 w:rsidRPr="00C71056"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perechi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10506,00</w:t>
            </w:r>
          </w:p>
        </w:tc>
      </w:tr>
      <w:tr w:rsidR="004012A5" w:rsidRPr="00862AA7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Înălbitor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ce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înălbește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dezinfectează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curăță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îndepartează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grăsimea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murdăria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petele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care nu pot fi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îndepărtate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cu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detergenții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obișnuiți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Totodată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distruge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bacteriile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ciuperca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mucegaiu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A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– recipient,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minim 1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litru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88027B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3768,00</w:t>
            </w:r>
          </w:p>
        </w:tc>
      </w:tr>
      <w:tr w:rsidR="004012A5" w:rsidRPr="00862AA7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Spray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o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dorizant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Odorizant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cu aerosol, </w:t>
            </w:r>
            <w:r w:rsidRPr="004C7740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sub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formă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de spray,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cu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arome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lungă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durată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Ambalaj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>: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recipient,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min.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300ml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6768,00</w:t>
            </w:r>
          </w:p>
        </w:tc>
      </w:tr>
      <w:tr w:rsidR="004012A5" w:rsidRPr="00862AA7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88027B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r w:rsidRPr="0088027B">
              <w:rPr>
                <w:rFonts w:eastAsiaTheme="minorHAnsi"/>
                <w:sz w:val="18"/>
                <w:szCs w:val="18"/>
                <w:lang w:eastAsia="en-GB"/>
              </w:rPr>
              <w:t xml:space="preserve">Detergent </w:t>
            </w:r>
            <w:proofErr w:type="spellStart"/>
            <w:r w:rsidRPr="0088027B">
              <w:rPr>
                <w:rFonts w:eastAsiaTheme="minorHAnsi"/>
                <w:sz w:val="18"/>
                <w:szCs w:val="18"/>
                <w:lang w:eastAsia="en-GB"/>
              </w:rPr>
              <w:t>praf</w:t>
            </w:r>
            <w:proofErr w:type="spellEnd"/>
            <w:r w:rsidRPr="0088027B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8027B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88027B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8027B">
              <w:rPr>
                <w:rFonts w:eastAsiaTheme="minorHAnsi"/>
                <w:sz w:val="18"/>
                <w:szCs w:val="18"/>
                <w:lang w:eastAsia="en-GB"/>
              </w:rPr>
              <w:t>curățat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Detergent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praf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curățat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pulbere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albă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elimină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murdăria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petele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grăsime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calcarul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săpunul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suprafețe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precum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ceramica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email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ori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suprafețe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cromate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emanând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un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parfum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proaspăt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Compoziție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: 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˂5%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materie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activa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anionica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hexyl,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cinnamal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agent de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ină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>lbire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cu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oxigen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Ambalaj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: recipient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min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500 g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921FEE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5000,00</w:t>
            </w:r>
          </w:p>
        </w:tc>
      </w:tr>
      <w:tr w:rsidR="004012A5" w:rsidRPr="00862AA7" w:rsidTr="00E231B2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FF53CA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Praf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anticalcar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="004012A5"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="004012A5" w:rsidRPr="004C7740">
              <w:rPr>
                <w:rFonts w:eastAsiaTheme="minorHAnsi"/>
                <w:sz w:val="18"/>
                <w:szCs w:val="18"/>
                <w:lang w:eastAsia="en-GB"/>
              </w:rPr>
              <w:t>mașini</w:t>
            </w:r>
            <w:proofErr w:type="spellEnd"/>
            <w:r w:rsidR="004012A5"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="004012A5" w:rsidRPr="004C7740">
              <w:rPr>
                <w:rFonts w:eastAsiaTheme="minorHAnsi"/>
                <w:sz w:val="18"/>
                <w:szCs w:val="18"/>
                <w:lang w:eastAsia="en-GB"/>
              </w:rPr>
              <w:t>spălat</w:t>
            </w:r>
            <w:proofErr w:type="spellEnd"/>
            <w:r w:rsidR="004012A5"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automate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DA6C77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Substanță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praf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adeviz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dedurizarea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apei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împotriv</w:t>
            </w:r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depunerilor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de calcar,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protejarea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părților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vitale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ale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mașinii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spălat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Ambalaj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>: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recipient,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min.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500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gr</w:t>
            </w:r>
            <w:r w:rsidRPr="00C95681"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4858,00</w:t>
            </w:r>
          </w:p>
        </w:tc>
      </w:tr>
      <w:tr w:rsidR="004012A5" w:rsidRPr="004C7740" w:rsidTr="00E231B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Hâ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rtie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igienică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331506" w:rsidRDefault="004012A5" w:rsidP="006C2594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Hâ</w:t>
            </w:r>
            <w:r w:rsidR="002C69BC">
              <w:rPr>
                <w:rFonts w:eastAsiaTheme="minorHAnsi"/>
                <w:sz w:val="18"/>
                <w:szCs w:val="18"/>
                <w:lang w:eastAsia="en-GB"/>
              </w:rPr>
              <w:t>rtie</w:t>
            </w:r>
            <w:proofErr w:type="spellEnd"/>
            <w:r w:rsidR="002C69BC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C69BC">
              <w:rPr>
                <w:rFonts w:eastAsiaTheme="minorHAnsi"/>
                <w:sz w:val="18"/>
                <w:szCs w:val="18"/>
                <w:lang w:eastAsia="en-GB"/>
              </w:rPr>
              <w:t>în</w:t>
            </w:r>
            <w:proofErr w:type="spellEnd"/>
            <w:r w:rsidR="002C69BC">
              <w:rPr>
                <w:rFonts w:eastAsiaTheme="minorHAnsi"/>
                <w:sz w:val="18"/>
                <w:szCs w:val="18"/>
                <w:lang w:eastAsia="en-GB"/>
              </w:rPr>
              <w:t xml:space="preserve"> 2 </w:t>
            </w:r>
            <w:proofErr w:type="spellStart"/>
            <w:r w:rsidR="002C69BC">
              <w:rPr>
                <w:rFonts w:eastAsiaTheme="minorHAnsi"/>
                <w:sz w:val="18"/>
                <w:szCs w:val="18"/>
                <w:lang w:eastAsia="en-GB"/>
              </w:rPr>
              <w:t>straturi</w:t>
            </w:r>
            <w:proofErr w:type="spellEnd"/>
            <w:r w:rsidR="002C69BC">
              <w:rPr>
                <w:rFonts w:eastAsiaTheme="minorHAnsi"/>
                <w:sz w:val="18"/>
                <w:szCs w:val="18"/>
                <w:lang w:eastAsia="en-GB"/>
              </w:rPr>
              <w:t xml:space="preserve">, sub </w:t>
            </w:r>
            <w:proofErr w:type="spellStart"/>
            <w:r w:rsidR="002C69BC">
              <w:rPr>
                <w:rFonts w:eastAsiaTheme="minorHAnsi"/>
                <w:sz w:val="18"/>
                <w:szCs w:val="18"/>
                <w:lang w:eastAsia="en-GB"/>
              </w:rPr>
              <w:t>formă</w:t>
            </w:r>
            <w:proofErr w:type="spellEnd"/>
            <w:r w:rsidR="002C69BC"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="002C69BC">
              <w:rPr>
                <w:rFonts w:eastAsiaTheme="minorHAnsi"/>
                <w:sz w:val="18"/>
                <w:szCs w:val="18"/>
                <w:lang w:eastAsia="en-GB"/>
              </w:rPr>
              <w:t>rolă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ecolorată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;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maculatură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cu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bucșă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Dimensiuni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: L-90m+/-5%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H - 95+/-5mm.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rolă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15000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48000,00</w:t>
            </w:r>
          </w:p>
        </w:tc>
      </w:tr>
      <w:tr w:rsidR="004012A5" w:rsidRPr="006C2594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Lavete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A60400">
            <w:pPr>
              <w:jc w:val="both"/>
              <w:rPr>
                <w:rFonts w:eastAsiaTheme="minorHAnsi"/>
                <w:sz w:val="18"/>
                <w:szCs w:val="18"/>
                <w:highlight w:val="yellow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Lavetă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microfibră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sau</w:t>
            </w:r>
            <w:proofErr w:type="spellEnd"/>
            <w:r w:rsidRPr="004C77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din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bumbac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orice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suprafata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cu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proprietăți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asorbante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bune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nu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lasă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pete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sau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scame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, nu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păstrează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mirosurile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,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este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durabilă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confectionată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în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măsură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asigure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curăţare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uniformă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usor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spalat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se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usucă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rapid,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dimensiunea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minima 38x40 cm.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Calitate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superioară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.</w:t>
            </w:r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Pret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: 1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bucată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.</w:t>
            </w:r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11880,00</w:t>
            </w:r>
          </w:p>
        </w:tc>
      </w:tr>
      <w:tr w:rsidR="004012A5" w:rsidRPr="003F2AD5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menajeri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35 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litri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A60400">
            <w:pPr>
              <w:jc w:val="both"/>
              <w:rPr>
                <w:rFonts w:eastAsiaTheme="minorHAnsi"/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coșuri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gunoi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C95681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din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polietilenă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, HDPE,</w:t>
            </w:r>
            <w:r w:rsidRPr="004C77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din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folie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rezistentă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la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ridicarea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pungii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umplute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la capacitate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maximă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impermeabili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si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igie</w:t>
            </w:r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nici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dimensiunea</w:t>
            </w:r>
            <w:proofErr w:type="spellEnd"/>
            <w:proofErr w:type="gram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cca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. 50/50 cm</w:t>
            </w:r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în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rolă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50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  <w:proofErr w:type="gramStart"/>
            <w:r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="000C4BE2">
              <w:rPr>
                <w:rFonts w:eastAsiaTheme="minorHAnsi"/>
                <w:sz w:val="18"/>
                <w:szCs w:val="18"/>
                <w:lang w:eastAsia="en-GB"/>
              </w:rPr>
              <w:t>/</w:t>
            </w:r>
            <w:proofErr w:type="gramEnd"/>
            <w:r w:rsidR="003F2AD5">
              <w:rPr>
                <w:rFonts w:eastAsiaTheme="minorHAnsi"/>
                <w:sz w:val="18"/>
                <w:szCs w:val="18"/>
                <w:lang w:eastAsia="en-GB"/>
              </w:rPr>
              <w:t>set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35L;</w:t>
            </w:r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coresp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und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cerințelor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standardului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GOST 32521-2013 „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din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polimeri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Specificatii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generale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",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grosimea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peliculei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0,200 ±0,030 mm,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rezistentă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rupere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- nu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mai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putin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de 300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kgf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/cm²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="003F2AD5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13920,00</w:t>
            </w:r>
          </w:p>
        </w:tc>
      </w:tr>
      <w:tr w:rsidR="004012A5" w:rsidRPr="004C7740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0C4BE2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menajeri</w:t>
            </w:r>
            <w:proofErr w:type="spellEnd"/>
            <w:r w:rsidR="004012A5">
              <w:rPr>
                <w:rFonts w:eastAsiaTheme="minorHAnsi"/>
                <w:sz w:val="18"/>
                <w:szCs w:val="18"/>
                <w:lang w:eastAsia="en-GB"/>
              </w:rPr>
              <w:t xml:space="preserve"> 60 </w:t>
            </w:r>
            <w:proofErr w:type="spellStart"/>
            <w:r w:rsidR="004012A5">
              <w:rPr>
                <w:rFonts w:eastAsiaTheme="minorHAnsi"/>
                <w:sz w:val="18"/>
                <w:szCs w:val="18"/>
                <w:lang w:eastAsia="en-GB"/>
              </w:rPr>
              <w:t>litri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230423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cosuri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gunoi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din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polietilenă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HDPE,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rezistenti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impermeabili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si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igienici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în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rolă</w:t>
            </w:r>
            <w:proofErr w:type="spellEnd"/>
            <w:r w:rsidRPr="00230423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50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>./set</w:t>
            </w:r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 w:rsidRPr="00230423">
              <w:rPr>
                <w:rFonts w:eastAsiaTheme="minorHAnsi"/>
                <w:sz w:val="18"/>
                <w:szCs w:val="18"/>
                <w:lang w:eastAsia="en-GB"/>
              </w:rPr>
              <w:t xml:space="preserve"> 60 L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;</w:t>
            </w:r>
            <w:r w:rsidRPr="00230423">
              <w:rPr>
                <w:rFonts w:eastAsiaTheme="minorHAnsi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230423">
              <w:rPr>
                <w:rFonts w:eastAsiaTheme="minorHAnsi"/>
                <w:sz w:val="18"/>
                <w:szCs w:val="18"/>
                <w:u w:val="single"/>
                <w:lang w:eastAsia="en-GB"/>
              </w:rPr>
              <w:t>coresp</w:t>
            </w:r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>und</w:t>
            </w:r>
            <w:proofErr w:type="spellEnd"/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>cerințelor</w:t>
            </w:r>
            <w:proofErr w:type="spellEnd"/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>standardului</w:t>
            </w:r>
            <w:proofErr w:type="spellEnd"/>
            <w:r>
              <w:rPr>
                <w:rFonts w:eastAsiaTheme="minorHAnsi"/>
                <w:sz w:val="18"/>
                <w:szCs w:val="18"/>
                <w:u w:val="single"/>
                <w:lang w:eastAsia="en-GB"/>
              </w:rPr>
              <w:t xml:space="preserve"> </w:t>
            </w:r>
            <w:r w:rsidRPr="000C5C36">
              <w:rPr>
                <w:rFonts w:eastAsiaTheme="minorHAnsi"/>
                <w:sz w:val="18"/>
                <w:szCs w:val="18"/>
                <w:lang w:eastAsia="en-GB"/>
              </w:rPr>
              <w:t>GOST 32521-2013 „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din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polimeri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Specificatii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generale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",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grosimea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peretilor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(0,200 ±0,030) mm,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rezistență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rupere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- nu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mai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putin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 xml:space="preserve"> de 300 </w:t>
            </w:r>
            <w:proofErr w:type="spellStart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kgf</w:t>
            </w:r>
            <w:proofErr w:type="spellEnd"/>
            <w:r w:rsidRPr="000C5C36">
              <w:rPr>
                <w:rFonts w:eastAsiaTheme="minorHAnsi"/>
                <w:sz w:val="18"/>
                <w:szCs w:val="18"/>
                <w:lang w:eastAsia="en-GB"/>
              </w:rPr>
              <w:t>/cm²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7000,00</w:t>
            </w:r>
          </w:p>
        </w:tc>
      </w:tr>
      <w:tr w:rsidR="004012A5" w:rsidRPr="004C7740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0C4BE2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menajeri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="004012A5">
              <w:rPr>
                <w:rFonts w:eastAsiaTheme="minorHAnsi"/>
                <w:sz w:val="18"/>
                <w:szCs w:val="18"/>
                <w:lang w:eastAsia="en-GB"/>
              </w:rPr>
              <w:t xml:space="preserve">120 </w:t>
            </w:r>
            <w:proofErr w:type="spellStart"/>
            <w:r w:rsidR="004012A5">
              <w:rPr>
                <w:rFonts w:eastAsiaTheme="minorHAnsi"/>
                <w:sz w:val="18"/>
                <w:szCs w:val="18"/>
                <w:lang w:eastAsia="en-GB"/>
              </w:rPr>
              <w:t>litri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Saci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gunoi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din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polietilenă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HDPE,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rezistenti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impermeabili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si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igienici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în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rolă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, 25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>./set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120 L 70 x 100 cm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color w:val="FF0000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1000,00</w:t>
            </w:r>
          </w:p>
        </w:tc>
      </w:tr>
      <w:tr w:rsidR="004012A5" w:rsidRPr="000C5C36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0C4BE2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Solutie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="000C4BE2"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cu </w:t>
            </w:r>
            <w:proofErr w:type="spellStart"/>
            <w:r w:rsidR="000C4BE2" w:rsidRPr="004C7740">
              <w:rPr>
                <w:rFonts w:eastAsiaTheme="minorHAnsi"/>
                <w:sz w:val="18"/>
                <w:szCs w:val="18"/>
                <w:lang w:eastAsia="en-GB"/>
              </w:rPr>
              <w:t>pulverizator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ingrijire</w:t>
            </w:r>
            <w:r w:rsidR="000C4BE2">
              <w:rPr>
                <w:rFonts w:eastAsiaTheme="minorHAnsi"/>
                <w:sz w:val="18"/>
                <w:szCs w:val="18"/>
                <w:lang w:eastAsia="en-GB"/>
              </w:rPr>
              <w:t>a</w:t>
            </w:r>
            <w:proofErr w:type="spellEnd"/>
            <w:r w:rsidR="000C4BE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C4BE2">
              <w:rPr>
                <w:rFonts w:eastAsiaTheme="minorHAnsi"/>
                <w:sz w:val="18"/>
                <w:szCs w:val="18"/>
                <w:lang w:eastAsia="en-GB"/>
              </w:rPr>
              <w:t>mobilei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Produs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antistatic,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antipraf</w:t>
            </w:r>
            <w:proofErr w:type="spellEnd"/>
            <w:r w:rsidR="00F21D30">
              <w:rPr>
                <w:rFonts w:eastAsiaTheme="minorHAnsi"/>
                <w:sz w:val="18"/>
                <w:szCs w:val="18"/>
                <w:lang w:eastAsia="en-GB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cur</w:t>
            </w:r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ațarea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si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îndepărtarea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prafului</w:t>
            </w:r>
            <w:proofErr w:type="spellEnd"/>
            <w:r w:rsidR="00F21D3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de </w:t>
            </w:r>
            <w:proofErr w:type="spellStart"/>
            <w:r w:rsidR="00F21D3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pe</w:t>
            </w:r>
            <w:proofErr w:type="spellEnd"/>
            <w:r w:rsidR="00F21D3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21D3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mobilă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spray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pro</w:t>
            </w:r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pulsat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cu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aer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, cu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aromă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Produs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permis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shd w:val="clear" w:color="auto" w:fill="FFFFFF"/>
                <w:lang w:eastAsia="en-US"/>
              </w:rPr>
              <w:t>u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tilizat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pe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toate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suprafețele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mobilă</w:t>
            </w:r>
            <w:proofErr w:type="spellEnd"/>
            <w:r w:rsidR="00FC41F4">
              <w:rPr>
                <w:rFonts w:eastAsiaTheme="minorHAnsi"/>
                <w:sz w:val="18"/>
                <w:szCs w:val="18"/>
                <w:lang w:eastAsia="en-GB"/>
              </w:rPr>
              <w:t xml:space="preserve"> etc.  </w:t>
            </w:r>
            <w:proofErr w:type="spellStart"/>
            <w:r w:rsidR="00FC41F4">
              <w:rPr>
                <w:rFonts w:eastAsiaTheme="minorHAnsi"/>
                <w:sz w:val="18"/>
                <w:szCs w:val="18"/>
                <w:lang w:eastAsia="en-GB"/>
              </w:rPr>
              <w:t>Ambalaj</w:t>
            </w:r>
            <w:proofErr w:type="spellEnd"/>
            <w:r w:rsidR="00FC41F4">
              <w:rPr>
                <w:rFonts w:eastAsiaTheme="minorHAnsi"/>
                <w:sz w:val="18"/>
                <w:szCs w:val="18"/>
                <w:lang w:eastAsia="en-GB"/>
              </w:rPr>
              <w:t>: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recipient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min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300 ml.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2296,00</w:t>
            </w:r>
          </w:p>
        </w:tc>
      </w:tr>
      <w:tr w:rsidR="004012A5" w:rsidRPr="000C5C36" w:rsidTr="00E231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F1765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="009F1765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curatare</w:t>
            </w:r>
            <w:r w:rsidR="009F1765">
              <w:rPr>
                <w:rFonts w:eastAsiaTheme="minorHAnsi"/>
                <w:sz w:val="18"/>
                <w:szCs w:val="18"/>
                <w:lang w:eastAsia="en-GB"/>
              </w:rPr>
              <w:t>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geamuri</w:t>
            </w:r>
            <w:r w:rsidR="009F1765">
              <w:rPr>
                <w:rFonts w:eastAsiaTheme="minorHAnsi"/>
                <w:sz w:val="18"/>
                <w:szCs w:val="18"/>
                <w:lang w:eastAsia="en-GB"/>
              </w:rPr>
              <w:t>lor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6C259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Solut</w:t>
            </w:r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ie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special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concepută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pentru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curăț</w:t>
            </w:r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degresarea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geamu</w:t>
            </w:r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rilor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si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suprafetelor</w:t>
            </w:r>
            <w:proofErr w:type="spellEnd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din </w:t>
            </w:r>
            <w:proofErr w:type="spellStart"/>
            <w:r w:rsidRPr="00C9568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sticlă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pen</w:t>
            </w:r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tru</w:t>
            </w:r>
            <w:proofErr w:type="spellEnd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curatare</w:t>
            </w:r>
            <w:proofErr w:type="spellEnd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rapidă</w:t>
            </w:r>
            <w:proofErr w:type="spellEnd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Ambalaj</w:t>
            </w:r>
            <w:proofErr w:type="spellEnd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:</w:t>
            </w:r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recipient, cu pistol</w:t>
            </w:r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,</w:t>
            </w:r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permite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aplicarea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solutiei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atît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prin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pulveri</w:t>
            </w:r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zare</w:t>
            </w:r>
            <w:proofErr w:type="spellEnd"/>
            <w:r w:rsidR="004C4B92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,</w:t>
            </w:r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cît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si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sub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formă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spumă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,</w:t>
            </w:r>
            <w:r w:rsidR="004C4B92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C4B92">
              <w:rPr>
                <w:rFonts w:eastAsiaTheme="minorHAnsi"/>
                <w:sz w:val="18"/>
                <w:szCs w:val="18"/>
                <w:lang w:eastAsia="en-GB"/>
              </w:rPr>
              <w:t>V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>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min.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750 ml.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>
              <w:rPr>
                <w:rFonts w:eastAsiaTheme="minorHAnsi"/>
                <w:sz w:val="18"/>
                <w:szCs w:val="18"/>
                <w:lang w:val="ro-RO" w:eastAsia="en-US"/>
              </w:rPr>
              <w:t>4127,0</w:t>
            </w: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0</w:t>
            </w:r>
          </w:p>
        </w:tc>
      </w:tr>
      <w:tr w:rsidR="004012A5" w:rsidRPr="000C5C36" w:rsidTr="00E231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pardoseli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A5" w:rsidRPr="004C7740" w:rsidRDefault="004012A5" w:rsidP="004C774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Soluție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universală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curățarea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eficientă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pardoselelor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cu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efect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dezinfectant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asigurînd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parfum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plăcut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lungă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durată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Ambalaj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: recipient,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volum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min. 5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litri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5828,00</w:t>
            </w:r>
          </w:p>
        </w:tc>
      </w:tr>
      <w:tr w:rsidR="004012A5" w:rsidRPr="000C5C36" w:rsidTr="00E231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antimucegai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A5" w:rsidRPr="004C7740" w:rsidRDefault="004012A5" w:rsidP="004C774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Soluție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antimucegai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curăță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elimină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bacteriile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microorg</w:t>
            </w:r>
            <w:r w:rsidR="00AC07BB">
              <w:rPr>
                <w:rFonts w:eastAsiaTheme="minorHAnsi"/>
                <w:sz w:val="18"/>
                <w:szCs w:val="18"/>
                <w:lang w:eastAsia="en-US"/>
              </w:rPr>
              <w:t>anismele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mucegaiul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murdăria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actionează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prevent</w:t>
            </w:r>
            <w:r w:rsidR="00AC07BB">
              <w:rPr>
                <w:rFonts w:eastAsiaTheme="minorHAnsi"/>
                <w:sz w:val="18"/>
                <w:szCs w:val="18"/>
                <w:lang w:eastAsia="en-US"/>
              </w:rPr>
              <w:t>iv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împotriva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apariției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acestora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utilizare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pereți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tavane</w:t>
            </w:r>
            <w:proofErr w:type="spellEnd"/>
            <w:r w:rsidR="00AC07BB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C07BB">
              <w:rPr>
                <w:rFonts w:eastAsiaTheme="minorHAnsi"/>
                <w:sz w:val="18"/>
                <w:szCs w:val="18"/>
                <w:lang w:eastAsia="en-US"/>
              </w:rPr>
              <w:t>tencuieli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etc.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Poate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fi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aplicat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suprafete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noi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supr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afete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vopsite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anterior.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Ambalaj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: recipient,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volum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min. 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>500ml-750ml.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3660,00</w:t>
            </w:r>
          </w:p>
        </w:tc>
      </w:tr>
      <w:tr w:rsidR="004012A5" w:rsidRPr="000C5C36" w:rsidTr="00E231B2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331506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Soluție</w:t>
            </w:r>
            <w:proofErr w:type="spellEnd"/>
            <w:r w:rsidR="005D53D4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D53D4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curatare</w:t>
            </w:r>
            <w:r w:rsidR="005D53D4">
              <w:rPr>
                <w:rFonts w:eastAsiaTheme="minorHAnsi"/>
                <w:sz w:val="18"/>
                <w:szCs w:val="18"/>
                <w:lang w:eastAsia="en-GB"/>
              </w:rPr>
              <w:t>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geamuri</w:t>
            </w:r>
            <w:r w:rsidR="005D53D4">
              <w:rPr>
                <w:rFonts w:eastAsiaTheme="minorHAnsi"/>
                <w:sz w:val="18"/>
                <w:szCs w:val="18"/>
                <w:lang w:eastAsia="en-GB"/>
              </w:rPr>
              <w:t>lor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 w:rsidRPr="00C95681">
              <w:rPr>
                <w:rFonts w:eastAsiaTheme="minorHAnsi"/>
                <w:sz w:val="18"/>
                <w:szCs w:val="18"/>
                <w:lang w:eastAsia="en-GB"/>
              </w:rPr>
              <w:t>(</w:t>
            </w:r>
            <w:proofErr w:type="spellStart"/>
            <w:r w:rsidRPr="00C95681">
              <w:rPr>
                <w:rFonts w:eastAsiaTheme="minorHAnsi"/>
                <w:sz w:val="18"/>
                <w:szCs w:val="18"/>
                <w:lang w:eastAsia="en-GB"/>
              </w:rPr>
              <w:t>rezervă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ED3F44">
            <w:pPr>
              <w:jc w:val="both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Solutie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special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concepută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curatarea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degresarea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geamurilor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si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suprafetelor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din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sticla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curatare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rapidă</w:t>
            </w:r>
            <w:proofErr w:type="spellEnd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C7740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A</w:t>
            </w:r>
            <w:r w:rsidR="00ED3F44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mbalaj</w:t>
            </w:r>
            <w:proofErr w:type="spellEnd"/>
            <w:r w:rsidR="00ED3F44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:</w:t>
            </w:r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recipient,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fara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pompa</w:t>
            </w:r>
            <w:proofErr w:type="spellEnd"/>
            <w:r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volum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min. </w:t>
            </w:r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750 ml</w:t>
            </w:r>
            <w:proofErr w:type="gram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1500,00</w:t>
            </w:r>
          </w:p>
        </w:tc>
      </w:tr>
      <w:tr w:rsidR="004012A5" w:rsidRPr="00D75E79" w:rsidTr="00E231B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Perie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haine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A5" w:rsidRPr="004C7740" w:rsidRDefault="004012A5" w:rsidP="0033150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Perie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din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lemn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sau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plastic/nylon, 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cu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peri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albi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negri</w:t>
            </w:r>
            <w:proofErr w:type="spellEnd"/>
            <w:r w:rsidR="00AA72B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îngrijirea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curățarea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hainelor</w:t>
            </w:r>
            <w:proofErr w:type="spellEnd"/>
            <w:r w:rsidR="00D75E79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D75E79">
              <w:rPr>
                <w:rFonts w:eastAsiaTheme="minorHAnsi"/>
                <w:sz w:val="18"/>
                <w:szCs w:val="18"/>
                <w:lang w:eastAsia="en-US"/>
              </w:rPr>
              <w:t>D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imensiuni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: 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>17x6x5 cm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>
              <w:rPr>
                <w:rFonts w:eastAsiaTheme="minorHAnsi"/>
                <w:sz w:val="18"/>
                <w:szCs w:val="18"/>
                <w:lang w:val="ro-RO" w:eastAsia="en-US"/>
              </w:rPr>
              <w:t>4334,00</w:t>
            </w:r>
          </w:p>
        </w:tc>
      </w:tr>
      <w:tr w:rsidR="004012A5" w:rsidRPr="004C7740" w:rsidTr="00E231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Perie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 xml:space="preserve"> WC</w:t>
            </w:r>
            <w:r w:rsidR="00252197">
              <w:rPr>
                <w:rFonts w:eastAsiaTheme="minorHAnsi"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="00252197">
              <w:rPr>
                <w:rFonts w:eastAsiaTheme="minorHAnsi"/>
                <w:sz w:val="18"/>
                <w:szCs w:val="18"/>
                <w:lang w:eastAsia="en-GB"/>
              </w:rPr>
              <w:t>suport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Perie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95681">
              <w:rPr>
                <w:rFonts w:eastAsiaTheme="minorHAnsi"/>
                <w:sz w:val="18"/>
                <w:szCs w:val="18"/>
                <w:lang w:eastAsia="en-US"/>
              </w:rPr>
              <w:t xml:space="preserve">WC din PVC </w:t>
            </w:r>
            <w:proofErr w:type="spellStart"/>
            <w:r w:rsidRPr="00C95681">
              <w:rPr>
                <w:rFonts w:eastAsiaTheme="minorHAnsi"/>
                <w:sz w:val="18"/>
                <w:szCs w:val="18"/>
                <w:lang w:eastAsia="en-US"/>
              </w:rPr>
              <w:t>utilă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pentru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curatarea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vasului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toaletă</w:t>
            </w:r>
            <w:proofErr w:type="spellEnd"/>
            <w:r w:rsidR="0025219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cu fire dese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și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rezistente</w:t>
            </w:r>
            <w:proofErr w:type="spellEnd"/>
            <w:r w:rsidR="0025219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cu</w:t>
            </w:r>
            <w:proofErr w:type="gram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>suport</w:t>
            </w:r>
            <w:proofErr w:type="spellEnd"/>
            <w:r w:rsidRPr="004C77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aferent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Termen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valabilitate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 xml:space="preserve"> min. 12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luni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proofErr w:type="spellStart"/>
            <w:r w:rsidRPr="004C7740">
              <w:rPr>
                <w:rFonts w:eastAsiaTheme="minorHAnsi"/>
                <w:sz w:val="18"/>
                <w:szCs w:val="18"/>
                <w:lang w:eastAsia="en-GB"/>
              </w:rPr>
              <w:t>buc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4C7740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4C7740">
              <w:rPr>
                <w:rFonts w:eastAsiaTheme="minorHAns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31" w:type="dxa"/>
            <w:vAlign w:val="center"/>
          </w:tcPr>
          <w:p w:rsidR="004012A5" w:rsidRPr="004C7740" w:rsidRDefault="004012A5" w:rsidP="004C7740">
            <w:pPr>
              <w:ind w:right="-23"/>
              <w:jc w:val="center"/>
              <w:rPr>
                <w:rFonts w:eastAsiaTheme="minorHAnsi"/>
                <w:sz w:val="18"/>
                <w:szCs w:val="18"/>
                <w:lang w:val="ro-RO" w:eastAsia="en-US"/>
              </w:rPr>
            </w:pPr>
            <w:r w:rsidRPr="00C95681">
              <w:rPr>
                <w:rFonts w:eastAsiaTheme="minorHAnsi"/>
                <w:sz w:val="18"/>
                <w:szCs w:val="18"/>
                <w:lang w:val="ro-RO" w:eastAsia="en-US"/>
              </w:rPr>
              <w:t>5000,00</w:t>
            </w:r>
          </w:p>
        </w:tc>
      </w:tr>
      <w:tr w:rsidR="004012A5" w:rsidRPr="00C95681" w:rsidTr="00E231B2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C95681" w:rsidRDefault="004012A5" w:rsidP="009001D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5681">
              <w:rPr>
                <w:b/>
                <w:sz w:val="18"/>
                <w:szCs w:val="18"/>
                <w:lang w:val="ro-MD"/>
              </w:rPr>
              <w:t>Valoarea estimativă totală (fără TVA)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C95681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A5" w:rsidRPr="00C95681" w:rsidRDefault="004012A5" w:rsidP="004C7740">
            <w:pPr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>
              <w:rPr>
                <w:rFonts w:eastAsia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031" w:type="dxa"/>
          </w:tcPr>
          <w:p w:rsidR="004012A5" w:rsidRPr="0098428B" w:rsidRDefault="004012A5" w:rsidP="0098428B">
            <w:pPr>
              <w:ind w:right="-23"/>
              <w:jc w:val="right"/>
              <w:rPr>
                <w:rFonts w:eastAsiaTheme="minorHAnsi"/>
                <w:b/>
                <w:sz w:val="18"/>
                <w:szCs w:val="18"/>
                <w:lang w:val="ro-RO"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val="ro-RO" w:eastAsia="en-US"/>
              </w:rPr>
              <w:t>156330,00</w:t>
            </w:r>
          </w:p>
        </w:tc>
      </w:tr>
    </w:tbl>
    <w:p w:rsidR="00230749" w:rsidRPr="004225A2" w:rsidRDefault="00230749" w:rsidP="0023074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oferta:</w:t>
      </w:r>
      <w:r>
        <w:rPr>
          <w:b/>
          <w:sz w:val="24"/>
          <w:szCs w:val="24"/>
          <w:lang w:val="ro-MD"/>
        </w:rPr>
        <w:t xml:space="preserve"> </w:t>
      </w:r>
    </w:p>
    <w:p w:rsidR="00230749" w:rsidRPr="004225A2" w:rsidRDefault="00230749" w:rsidP="0023074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:rsidR="00230749" w:rsidRPr="004225A2" w:rsidRDefault="00230749" w:rsidP="0023074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230749" w:rsidRPr="0077167C" w:rsidRDefault="00230749" w:rsidP="0023074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toate loturile.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230749" w:rsidRPr="00385346" w:rsidRDefault="00230749" w:rsidP="0023074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Termenii și condițiile de livrare solicitați:</w:t>
      </w:r>
      <w:r>
        <w:rPr>
          <w:b/>
          <w:sz w:val="24"/>
          <w:szCs w:val="24"/>
          <w:lang w:val="ro-MD"/>
        </w:rPr>
        <w:t xml:space="preserve"> </w:t>
      </w:r>
      <w:r w:rsidRPr="0077167C">
        <w:rPr>
          <w:b/>
          <w:i/>
          <w:sz w:val="24"/>
          <w:szCs w:val="24"/>
          <w:u w:val="single"/>
          <w:lang w:val="ro-RO"/>
        </w:rPr>
        <w:t xml:space="preserve">în decurs de </w:t>
      </w:r>
      <w:r w:rsidR="006E566E">
        <w:rPr>
          <w:b/>
          <w:i/>
          <w:sz w:val="24"/>
          <w:szCs w:val="24"/>
          <w:u w:val="single"/>
          <w:lang w:val="ro-RO"/>
        </w:rPr>
        <w:t>15 zile calendaristice de la încheierea contractului se livrează cantitatea integrală în depozitul autorității contractante situat pe adresa</w:t>
      </w:r>
      <w:r w:rsidR="00D24672">
        <w:rPr>
          <w:b/>
          <w:i/>
          <w:sz w:val="24"/>
          <w:szCs w:val="24"/>
          <w:u w:val="single"/>
          <w:lang w:val="ro-RO"/>
        </w:rPr>
        <w:t xml:space="preserve"> mun. Chișinău, str. A. Doga 21</w:t>
      </w:r>
      <w:r w:rsidR="00B77932">
        <w:rPr>
          <w:b/>
          <w:i/>
          <w:sz w:val="24"/>
          <w:szCs w:val="24"/>
          <w:u w:val="single"/>
          <w:lang w:val="ro-RO"/>
        </w:rPr>
        <w:t>, costul transportul si descărcarea mărfii fiind inclus</w:t>
      </w:r>
      <w:r w:rsidR="006205A4">
        <w:rPr>
          <w:b/>
          <w:i/>
          <w:sz w:val="24"/>
          <w:szCs w:val="24"/>
          <w:u w:val="single"/>
          <w:lang w:val="ro-RO"/>
        </w:rPr>
        <w:t>e</w:t>
      </w:r>
      <w:r w:rsidR="00B77932">
        <w:rPr>
          <w:b/>
          <w:i/>
          <w:sz w:val="24"/>
          <w:szCs w:val="24"/>
          <w:u w:val="single"/>
          <w:lang w:val="ro-RO"/>
        </w:rPr>
        <w:t xml:space="preserve"> în prețul ofertei.</w:t>
      </w:r>
      <w:r w:rsidR="00D24672">
        <w:rPr>
          <w:b/>
          <w:i/>
          <w:sz w:val="24"/>
          <w:szCs w:val="24"/>
          <w:u w:val="single"/>
          <w:lang w:val="ro-RO"/>
        </w:rPr>
        <w:t xml:space="preserve"> Produsele livrate vor fi identice cu cele prezentate ca mostre și nu pot fi înlocuite cu altele.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</w:t>
      </w:r>
      <w:r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</w:t>
      </w:r>
      <w:r w:rsidR="0050337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12.2021</w:t>
      </w:r>
    </w:p>
    <w:p w:rsidR="00230749" w:rsidRPr="00385346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 (după caz):</w:t>
      </w:r>
      <w:r>
        <w:rPr>
          <w:b/>
          <w:sz w:val="24"/>
          <w:szCs w:val="24"/>
          <w:lang w:val="ro-MD"/>
        </w:rPr>
        <w:t xml:space="preserve"> </w:t>
      </w:r>
      <w:r w:rsidRPr="00385346">
        <w:rPr>
          <w:b/>
          <w:i/>
          <w:sz w:val="24"/>
          <w:szCs w:val="24"/>
          <w:u w:val="single"/>
          <w:lang w:val="ro-MD"/>
        </w:rPr>
        <w:t>nu</w:t>
      </w:r>
      <w:r>
        <w:rPr>
          <w:b/>
          <w:i/>
          <w:sz w:val="24"/>
          <w:szCs w:val="24"/>
          <w:u w:val="single"/>
          <w:lang w:val="ro-MD"/>
        </w:rPr>
        <w:t xml:space="preserve"> se aplic</w:t>
      </w:r>
      <w:r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TableGrid"/>
        <w:tblW w:w="9895" w:type="dxa"/>
        <w:tblInd w:w="1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7"/>
        <w:gridCol w:w="2146"/>
        <w:gridCol w:w="6182"/>
        <w:gridCol w:w="990"/>
      </w:tblGrid>
      <w:tr w:rsidR="00230749" w:rsidRPr="00BF071E" w:rsidTr="00161E48">
        <w:tc>
          <w:tcPr>
            <w:tcW w:w="577" w:type="dxa"/>
            <w:shd w:val="clear" w:color="auto" w:fill="FFFFFF" w:themeFill="background1"/>
            <w:vAlign w:val="center"/>
          </w:tcPr>
          <w:p w:rsidR="00230749" w:rsidRPr="00BF071E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Nr. d/o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30749" w:rsidRPr="00BF071E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6182" w:type="dxa"/>
            <w:shd w:val="clear" w:color="auto" w:fill="FFFFFF" w:themeFill="background1"/>
            <w:vAlign w:val="center"/>
          </w:tcPr>
          <w:p w:rsidR="00230749" w:rsidRPr="00BF071E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Mod de demonstrare a îndeplinirii criteriului/cerinței: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0749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Obligati</w:t>
            </w:r>
          </w:p>
          <w:p w:rsidR="00230749" w:rsidRPr="00BF071E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vitatea</w:t>
            </w:r>
          </w:p>
        </w:tc>
      </w:tr>
      <w:tr w:rsidR="00230749" w:rsidRPr="00D77B73" w:rsidTr="00161E48">
        <w:tc>
          <w:tcPr>
            <w:tcW w:w="577" w:type="dxa"/>
            <w:shd w:val="clear" w:color="auto" w:fill="FFFFFF" w:themeFill="background1"/>
            <w:vAlign w:val="center"/>
          </w:tcPr>
          <w:p w:rsidR="00230749" w:rsidRPr="004225A2" w:rsidRDefault="004A1966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30749" w:rsidRPr="00E959FB" w:rsidRDefault="00230749" w:rsidP="0021141E">
            <w:pPr>
              <w:rPr>
                <w:b/>
                <w:color w:val="000000"/>
              </w:rPr>
            </w:pPr>
            <w:r w:rsidRPr="00E959FB">
              <w:rPr>
                <w:b/>
                <w:color w:val="000000"/>
              </w:rPr>
              <w:t>Specificația de preț</w:t>
            </w:r>
          </w:p>
        </w:tc>
        <w:tc>
          <w:tcPr>
            <w:tcW w:w="6182" w:type="dxa"/>
            <w:shd w:val="clear" w:color="auto" w:fill="FFFFFF" w:themeFill="background1"/>
            <w:vAlign w:val="center"/>
          </w:tcPr>
          <w:p w:rsidR="00230749" w:rsidRPr="00E959FB" w:rsidRDefault="002E458C" w:rsidP="0021141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Original, </w:t>
            </w:r>
            <w:proofErr w:type="spellStart"/>
            <w:r>
              <w:rPr>
                <w:color w:val="000000"/>
                <w:lang w:val="en-GB"/>
              </w:rPr>
              <w:t>c</w:t>
            </w:r>
            <w:r w:rsidR="00230749" w:rsidRPr="00E959FB">
              <w:rPr>
                <w:color w:val="000000"/>
                <w:lang w:val="en-GB"/>
              </w:rPr>
              <w:t>onfirmat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</w:t>
            </w:r>
            <w:proofErr w:type="spellStart"/>
            <w:r w:rsidR="00230749" w:rsidRPr="00E959FB">
              <w:rPr>
                <w:color w:val="000000"/>
                <w:lang w:val="en-GB"/>
              </w:rPr>
              <w:t>prin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</w:t>
            </w:r>
            <w:proofErr w:type="spellStart"/>
            <w:r w:rsidR="00230749" w:rsidRPr="00E959FB">
              <w:rPr>
                <w:color w:val="000000"/>
                <w:lang w:val="en-GB"/>
              </w:rPr>
              <w:t>semnă</w:t>
            </w:r>
            <w:r w:rsidR="004A1966">
              <w:rPr>
                <w:color w:val="000000"/>
                <w:lang w:val="en-GB"/>
              </w:rPr>
              <w:t>tura</w:t>
            </w:r>
            <w:proofErr w:type="spellEnd"/>
            <w:r w:rsidR="004A1966">
              <w:rPr>
                <w:color w:val="000000"/>
                <w:lang w:val="en-GB"/>
              </w:rPr>
              <w:t xml:space="preserve"> </w:t>
            </w:r>
            <w:proofErr w:type="spellStart"/>
            <w:r w:rsidR="00476C7A">
              <w:rPr>
                <w:color w:val="000000"/>
                <w:lang w:val="en-GB"/>
              </w:rPr>
              <w:t>electronică</w:t>
            </w:r>
            <w:proofErr w:type="spellEnd"/>
            <w:r w:rsidR="004A1966">
              <w:rPr>
                <w:color w:val="000000"/>
                <w:lang w:val="en-GB"/>
              </w:rPr>
              <w:t xml:space="preserve"> a </w:t>
            </w:r>
            <w:proofErr w:type="spellStart"/>
            <w:r w:rsidR="004A1966">
              <w:rPr>
                <w:color w:val="000000"/>
                <w:lang w:val="en-GB"/>
              </w:rPr>
              <w:t>participantului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(</w:t>
            </w:r>
            <w:proofErr w:type="spellStart"/>
            <w:r w:rsidR="00230749" w:rsidRPr="00E959FB">
              <w:rPr>
                <w:color w:val="000000"/>
                <w:lang w:val="en-GB"/>
              </w:rPr>
              <w:t>formularul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F 4.2)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0749" w:rsidRPr="00B420C9" w:rsidRDefault="00230749" w:rsidP="0021141E">
            <w:pPr>
              <w:pStyle w:val="NoSpacing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230749" w:rsidRPr="00D77B73" w:rsidTr="00161E48">
        <w:tc>
          <w:tcPr>
            <w:tcW w:w="577" w:type="dxa"/>
            <w:shd w:val="clear" w:color="auto" w:fill="FFFFFF" w:themeFill="background1"/>
            <w:vAlign w:val="center"/>
          </w:tcPr>
          <w:p w:rsidR="00230749" w:rsidRPr="004225A2" w:rsidRDefault="004A1966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30749" w:rsidRPr="00E959FB" w:rsidRDefault="00230749" w:rsidP="0021141E">
            <w:pPr>
              <w:rPr>
                <w:b/>
                <w:color w:val="000000"/>
              </w:rPr>
            </w:pPr>
            <w:r w:rsidRPr="00E959FB">
              <w:rPr>
                <w:b/>
                <w:color w:val="000000"/>
              </w:rPr>
              <w:t>Specificaţii tehnice</w:t>
            </w:r>
          </w:p>
        </w:tc>
        <w:tc>
          <w:tcPr>
            <w:tcW w:w="6182" w:type="dxa"/>
            <w:shd w:val="clear" w:color="auto" w:fill="FFFFFF" w:themeFill="background1"/>
            <w:vAlign w:val="center"/>
          </w:tcPr>
          <w:p w:rsidR="00230749" w:rsidRPr="00E959FB" w:rsidRDefault="002E458C" w:rsidP="0021141E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Original, </w:t>
            </w:r>
            <w:proofErr w:type="spellStart"/>
            <w:r>
              <w:rPr>
                <w:color w:val="000000"/>
                <w:lang w:val="en-GB"/>
              </w:rPr>
              <w:t>c</w:t>
            </w:r>
            <w:r w:rsidR="00230749" w:rsidRPr="00E959FB">
              <w:rPr>
                <w:color w:val="000000"/>
                <w:lang w:val="en-GB"/>
              </w:rPr>
              <w:t>onfirmat</w:t>
            </w:r>
            <w:r w:rsidR="00476C7A">
              <w:rPr>
                <w:color w:val="000000"/>
                <w:lang w:val="en-GB"/>
              </w:rPr>
              <w:t>ă</w:t>
            </w:r>
            <w:proofErr w:type="spellEnd"/>
            <w:r w:rsidR="00476C7A">
              <w:rPr>
                <w:color w:val="000000"/>
                <w:lang w:val="en-GB"/>
              </w:rPr>
              <w:t xml:space="preserve"> </w:t>
            </w:r>
            <w:proofErr w:type="spellStart"/>
            <w:r w:rsidR="00476C7A">
              <w:rPr>
                <w:color w:val="000000"/>
                <w:lang w:val="en-GB"/>
              </w:rPr>
              <w:t>prin</w:t>
            </w:r>
            <w:proofErr w:type="spellEnd"/>
            <w:r w:rsidR="00476C7A">
              <w:rPr>
                <w:color w:val="000000"/>
                <w:lang w:val="en-GB"/>
              </w:rPr>
              <w:t xml:space="preserve"> </w:t>
            </w:r>
            <w:proofErr w:type="spellStart"/>
            <w:r w:rsidR="00476C7A">
              <w:rPr>
                <w:color w:val="000000"/>
                <w:lang w:val="en-GB"/>
              </w:rPr>
              <w:t>semnătura</w:t>
            </w:r>
            <w:proofErr w:type="spellEnd"/>
            <w:r w:rsidR="00476C7A">
              <w:rPr>
                <w:color w:val="000000"/>
                <w:lang w:val="en-GB"/>
              </w:rPr>
              <w:t xml:space="preserve"> electronica a</w:t>
            </w:r>
            <w:r w:rsidR="00230749" w:rsidRPr="00E959FB">
              <w:rPr>
                <w:color w:val="000000"/>
                <w:lang w:val="en-GB"/>
              </w:rPr>
              <w:t xml:space="preserve"> </w:t>
            </w:r>
            <w:proofErr w:type="spellStart"/>
            <w:r w:rsidR="00230749" w:rsidRPr="00E959FB">
              <w:rPr>
                <w:color w:val="000000"/>
                <w:lang w:val="en-GB"/>
              </w:rPr>
              <w:t>participantului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(</w:t>
            </w:r>
            <w:proofErr w:type="spellStart"/>
            <w:r w:rsidR="00230749" w:rsidRPr="00E959FB">
              <w:rPr>
                <w:color w:val="000000"/>
                <w:lang w:val="en-GB"/>
              </w:rPr>
              <w:t>formularul</w:t>
            </w:r>
            <w:proofErr w:type="spellEnd"/>
            <w:r w:rsidR="00230749" w:rsidRPr="00E959FB">
              <w:rPr>
                <w:color w:val="000000"/>
                <w:lang w:val="en-GB"/>
              </w:rPr>
              <w:t xml:space="preserve"> F 4.1)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0749" w:rsidRPr="00B420C9" w:rsidRDefault="00230749" w:rsidP="0021141E">
            <w:pPr>
              <w:pStyle w:val="NoSpacing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230749" w:rsidRPr="00D77B73" w:rsidTr="00CC4D41">
        <w:trPr>
          <w:trHeight w:val="773"/>
        </w:trPr>
        <w:tc>
          <w:tcPr>
            <w:tcW w:w="577" w:type="dxa"/>
            <w:shd w:val="clear" w:color="auto" w:fill="FFFFFF" w:themeFill="background1"/>
            <w:vAlign w:val="center"/>
          </w:tcPr>
          <w:p w:rsidR="00230749" w:rsidRDefault="004A1966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230749" w:rsidRPr="00E959FB" w:rsidRDefault="00230749" w:rsidP="0021141E">
            <w:pPr>
              <w:rPr>
                <w:b/>
                <w:color w:val="000000"/>
              </w:rPr>
            </w:pPr>
            <w:r w:rsidRPr="00E959FB">
              <w:rPr>
                <w:b/>
                <w:color w:val="000000"/>
              </w:rPr>
              <w:t>Notă: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FF1DBE" w:rsidRPr="00CC4D41" w:rsidRDefault="00E959FB" w:rsidP="00161E48">
            <w:pPr>
              <w:spacing w:after="160" w:line="276" w:lineRule="auto"/>
              <w:ind w:left="-18" w:right="-23"/>
              <w:jc w:val="both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E959FB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F42760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>În termen de 3 zile lucrătoare</w:t>
            </w:r>
            <w:r w:rsidR="004A1966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de la deschiderea</w:t>
            </w:r>
            <w:r w:rsidR="00F42760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ofertelor, operatorii economici participanți depun mostre</w:t>
            </w:r>
            <w:r w:rsidR="0098428B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pentru a fi testate</w:t>
            </w:r>
            <w:r w:rsidR="00F42760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pentru toa</w:t>
            </w:r>
            <w:r w:rsidR="0098428B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>te produsel</w:t>
            </w:r>
            <w:r w:rsidR="00F42760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e </w:t>
            </w:r>
            <w:r w:rsidR="00733A22" w:rsidRPr="00CC4D41">
              <w:rPr>
                <w:rFonts w:eastAsiaTheme="minorHAnsi"/>
                <w:b/>
                <w:i/>
                <w:color w:val="000000" w:themeColor="text1"/>
                <w:lang w:eastAsia="en-US"/>
              </w:rPr>
              <w:t>pentru care au prezentat oferte.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0749" w:rsidRPr="00B420C9" w:rsidRDefault="00230749" w:rsidP="0021141E">
            <w:pPr>
              <w:pStyle w:val="NoSpacing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</w:tbl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 procedura accelerată (în cazul licitației deschise, restrînse și al procedurii negociate), după caz</w:t>
      </w:r>
      <w:r>
        <w:rPr>
          <w:b/>
          <w:sz w:val="24"/>
          <w:szCs w:val="24"/>
          <w:lang w:val="ro-MD"/>
        </w:rPr>
        <w:t xml:space="preserve">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BF071E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 w:rsidRPr="009B6231">
        <w:rPr>
          <w:b/>
          <w:i/>
          <w:sz w:val="24"/>
          <w:szCs w:val="24"/>
          <w:u w:val="single"/>
          <w:lang w:val="ro-MD"/>
        </w:rPr>
        <w:t>licitația electronică</w:t>
      </w:r>
    </w:p>
    <w:p w:rsidR="00230749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 speciale de care depinde îndeplinirea contractului (</w:t>
      </w:r>
      <w:r w:rsidRPr="00BF071E">
        <w:rPr>
          <w:sz w:val="24"/>
          <w:szCs w:val="24"/>
          <w:lang w:val="ro-MD"/>
        </w:rPr>
        <w:t>indicați după caz</w:t>
      </w:r>
      <w:r w:rsidRPr="00BF071E">
        <w:rPr>
          <w:b/>
          <w:sz w:val="24"/>
          <w:szCs w:val="24"/>
          <w:lang w:val="ro-MD"/>
        </w:rPr>
        <w:t xml:space="preserve">):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AA16C3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Criteriul de evaluare aplicat pentru adjudecarea contractului: </w:t>
      </w:r>
      <w:r w:rsidRPr="00BF071E">
        <w:rPr>
          <w:b/>
          <w:i/>
          <w:sz w:val="24"/>
          <w:szCs w:val="24"/>
          <w:u w:val="single"/>
          <w:lang w:val="ro-MD"/>
        </w:rPr>
        <w:t>cel mai mic preț fără TVA și corespunderea cerințelor solicitate</w:t>
      </w:r>
      <w:r>
        <w:rPr>
          <w:b/>
          <w:i/>
          <w:sz w:val="24"/>
          <w:szCs w:val="24"/>
          <w:u w:val="single"/>
          <w:lang w:val="ro-MD"/>
        </w:rPr>
        <w:t>, pe loturi.</w:t>
      </w:r>
    </w:p>
    <w:p w:rsidR="00230749" w:rsidRPr="00AA16C3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7796"/>
        <w:gridCol w:w="1843"/>
      </w:tblGrid>
      <w:tr w:rsidR="00230749" w:rsidRPr="00A90230" w:rsidTr="0021141E">
        <w:trPr>
          <w:trHeight w:val="142"/>
        </w:trPr>
        <w:tc>
          <w:tcPr>
            <w:tcW w:w="846" w:type="dxa"/>
            <w:shd w:val="clear" w:color="auto" w:fill="FFFFFF" w:themeFill="background1"/>
            <w:vAlign w:val="center"/>
          </w:tcPr>
          <w:p w:rsidR="00230749" w:rsidRPr="00A90230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30749" w:rsidRPr="00A90230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30749" w:rsidRPr="00A90230" w:rsidRDefault="00230749" w:rsidP="0021141E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230749" w:rsidRPr="004225A2" w:rsidTr="0021141E">
        <w:tc>
          <w:tcPr>
            <w:tcW w:w="84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limită de depunere/deschidere a ofertelor:</w:t>
      </w:r>
    </w:p>
    <w:p w:rsidR="00230749" w:rsidRPr="00A90230" w:rsidRDefault="00230749" w:rsidP="00230749">
      <w:pPr>
        <w:pStyle w:val="ListParagraph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până la: </w:t>
      </w:r>
      <w:r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Pr="00A90230">
        <w:rPr>
          <w:b/>
          <w:sz w:val="24"/>
          <w:szCs w:val="24"/>
          <w:lang w:val="ro-MD"/>
        </w:rPr>
        <w:t xml:space="preserve"> </w:t>
      </w:r>
    </w:p>
    <w:p w:rsidR="00230749" w:rsidRPr="00A90230" w:rsidRDefault="00230749" w:rsidP="00230749">
      <w:pPr>
        <w:pStyle w:val="ListParagraph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Pr="00A90230">
        <w:rPr>
          <w:b/>
          <w:sz w:val="24"/>
          <w:szCs w:val="24"/>
          <w:lang w:val="ro-MD"/>
        </w:rPr>
        <w:t xml:space="preserve"> </w:t>
      </w:r>
    </w:p>
    <w:p w:rsidR="00230749" w:rsidRPr="00BF071E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  <w:r w:rsidRPr="00BF071E">
        <w:rPr>
          <w:b/>
          <w:i/>
          <w:sz w:val="24"/>
          <w:szCs w:val="24"/>
          <w:u w:val="single"/>
          <w:lang w:val="ro-MD"/>
        </w:rPr>
        <w:t>Ofertele sau cererile de participare vor fi depuse electronic prin intermediul SIA RSAP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Pr="00A90230">
        <w:rPr>
          <w:b/>
          <w:i/>
          <w:sz w:val="24"/>
          <w:szCs w:val="24"/>
          <w:u w:val="single"/>
          <w:lang w:val="ro-MD"/>
        </w:rPr>
        <w:t>45 de zile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Locul deschiderii ofertelor: </w:t>
      </w:r>
      <w:r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230749" w:rsidRPr="004225A2" w:rsidRDefault="00230749" w:rsidP="00230749">
      <w:pPr>
        <w:pStyle w:val="ListParagraph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230749" w:rsidRPr="004225A2" w:rsidRDefault="00230749" w:rsidP="00230749">
      <w:pPr>
        <w:pStyle w:val="ListParagraph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BF071E">
        <w:rPr>
          <w:b/>
          <w:sz w:val="24"/>
          <w:szCs w:val="24"/>
          <w:u w:val="single"/>
          <w:lang w:val="ro-MD"/>
        </w:rPr>
        <w:t xml:space="preserve">Ofertele </w:t>
      </w:r>
      <w:r>
        <w:rPr>
          <w:b/>
          <w:sz w:val="24"/>
          <w:szCs w:val="24"/>
          <w:u w:val="single"/>
          <w:lang w:val="ro-MD"/>
        </w:rPr>
        <w:t xml:space="preserve">vor </w:t>
      </w:r>
      <w:r w:rsidRPr="00BF071E">
        <w:rPr>
          <w:b/>
          <w:sz w:val="24"/>
          <w:szCs w:val="24"/>
          <w:u w:val="single"/>
          <w:lang w:val="ro-MD"/>
        </w:rPr>
        <w:t>f</w:t>
      </w:r>
      <w:r>
        <w:rPr>
          <w:b/>
          <w:sz w:val="24"/>
          <w:szCs w:val="24"/>
          <w:u w:val="single"/>
          <w:lang w:val="ro-MD"/>
        </w:rPr>
        <w:t>i</w:t>
      </w:r>
      <w:r w:rsidRPr="00BF071E">
        <w:rPr>
          <w:b/>
          <w:sz w:val="24"/>
          <w:szCs w:val="24"/>
          <w:u w:val="single"/>
          <w:lang w:val="ro-MD"/>
        </w:rPr>
        <w:t xml:space="preserve"> depuse prin </w:t>
      </w:r>
      <w:r>
        <w:rPr>
          <w:b/>
          <w:sz w:val="24"/>
          <w:szCs w:val="24"/>
          <w:u w:val="single"/>
          <w:lang w:val="ro-MD"/>
        </w:rPr>
        <w:t xml:space="preserve">intermediul </w:t>
      </w:r>
      <w:r w:rsidRPr="00BF071E">
        <w:rPr>
          <w:b/>
          <w:sz w:val="24"/>
          <w:szCs w:val="24"/>
          <w:u w:val="single"/>
          <w:lang w:val="ro-MD"/>
        </w:rPr>
        <w:t>SIA “RSAP”.</w:t>
      </w:r>
    </w:p>
    <w:p w:rsidR="00230749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Limba sau limbile în care trebuie redactate ofertele sau cererile de participare: </w:t>
      </w:r>
      <w:r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230749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AA16C3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și adresa organismului competent de soluționare a contestațiilor: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022-820 652, 02</w:t>
      </w:r>
      <w:r w:rsidRPr="0094440C">
        <w:rPr>
          <w:b/>
          <w:i/>
          <w:sz w:val="24"/>
          <w:szCs w:val="24"/>
          <w:lang w:val="ro-MD"/>
        </w:rPr>
        <w:t xml:space="preserve">2 820-651, </w:t>
      </w:r>
      <w:hyperlink r:id="rId8" w:history="1">
        <w:r w:rsidRPr="0094440C">
          <w:rPr>
            <w:rStyle w:val="Hyperlink"/>
            <w:b/>
            <w:i/>
            <w:sz w:val="24"/>
            <w:szCs w:val="24"/>
            <w:lang w:val="ro-MD"/>
          </w:rPr>
          <w:t>contestatii@ansc.md</w:t>
        </w:r>
      </w:hyperlink>
    </w:p>
    <w:p w:rsidR="00230749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>Data (datele) și referința (referințele) publicărilor anterioare în Jurnalul Oficial al Uniunii Europene privind contractul (contractele) la care se referă anunțul respective (dacă este cazul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):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AA16C3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>În cazul achizițiilor periodice, calendarul estimat pentru publicarea anunțurilor viitoare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AA16C3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>Data publicării anunțului de intenție sau, după caz, precizarea că nu a fost publicat un astfel de anunţ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230749" w:rsidRPr="0094440C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94440C">
        <w:rPr>
          <w:b/>
          <w:sz w:val="24"/>
          <w:szCs w:val="24"/>
          <w:lang w:val="ro-MD"/>
        </w:rPr>
        <w:t>Data transmiterii spre publicare a anunțului de participare</w:t>
      </w:r>
      <w:r w:rsidRPr="0094440C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conform SIA RSAP</w:t>
      </w:r>
    </w:p>
    <w:p w:rsidR="00230749" w:rsidRPr="004225A2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TableGrid"/>
        <w:tblW w:w="105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4026"/>
      </w:tblGrid>
      <w:tr w:rsidR="00230749" w:rsidRPr="004012A5" w:rsidTr="0021141E">
        <w:tc>
          <w:tcPr>
            <w:tcW w:w="6521" w:type="dxa"/>
            <w:shd w:val="clear" w:color="auto" w:fill="FFFFFF" w:themeFill="background1"/>
          </w:tcPr>
          <w:p w:rsidR="00230749" w:rsidRPr="004225A2" w:rsidRDefault="00230749" w:rsidP="0021141E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230749" w:rsidRPr="002E36AD" w:rsidTr="0021141E">
        <w:tc>
          <w:tcPr>
            <w:tcW w:w="6521" w:type="dxa"/>
            <w:shd w:val="clear" w:color="auto" w:fill="FFFFFF" w:themeFill="background1"/>
          </w:tcPr>
          <w:p w:rsidR="00230749" w:rsidRPr="004225A2" w:rsidRDefault="00230749" w:rsidP="0021141E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230749" w:rsidRPr="004225A2" w:rsidTr="0021141E">
        <w:tc>
          <w:tcPr>
            <w:tcW w:w="6521" w:type="dxa"/>
            <w:shd w:val="clear" w:color="auto" w:fill="FFFFFF" w:themeFill="background1"/>
          </w:tcPr>
          <w:p w:rsidR="00230749" w:rsidRPr="004225A2" w:rsidRDefault="00230749" w:rsidP="0021141E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230749" w:rsidRPr="004225A2" w:rsidTr="0021141E">
        <w:tc>
          <w:tcPr>
            <w:tcW w:w="6521" w:type="dxa"/>
            <w:shd w:val="clear" w:color="auto" w:fill="FFFFFF" w:themeFill="background1"/>
          </w:tcPr>
          <w:p w:rsidR="00230749" w:rsidRPr="004225A2" w:rsidRDefault="00230749" w:rsidP="0021141E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230749" w:rsidRPr="004225A2" w:rsidTr="0021141E">
        <w:tc>
          <w:tcPr>
            <w:tcW w:w="6521" w:type="dxa"/>
            <w:shd w:val="clear" w:color="auto" w:fill="FFFFFF" w:themeFill="background1"/>
          </w:tcPr>
          <w:p w:rsidR="00230749" w:rsidRPr="004225A2" w:rsidRDefault="00230749" w:rsidP="0021141E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230749" w:rsidRPr="004225A2" w:rsidRDefault="00230749" w:rsidP="002114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230749" w:rsidRPr="00BF071E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BF071E" w:rsidRDefault="00230749" w:rsidP="0023074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informații relevante: </w:t>
      </w:r>
      <w:r w:rsidRPr="004F532C">
        <w:rPr>
          <w:b/>
          <w:i/>
          <w:sz w:val="24"/>
          <w:szCs w:val="24"/>
          <w:u w:val="single"/>
          <w:lang w:val="ro-MD"/>
        </w:rPr>
        <w:t>nu se aplic</w:t>
      </w:r>
      <w:r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230749" w:rsidRPr="004225A2" w:rsidRDefault="00230749" w:rsidP="00230749">
      <w:pPr>
        <w:spacing w:before="120" w:after="120"/>
        <w:rPr>
          <w:b/>
          <w:sz w:val="24"/>
          <w:szCs w:val="24"/>
          <w:lang w:val="ro-MD"/>
        </w:rPr>
      </w:pPr>
    </w:p>
    <w:p w:rsidR="00230749" w:rsidRPr="004225A2" w:rsidRDefault="00230749" w:rsidP="00230749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  <w:t>Anatol FORTUNA</w:t>
      </w:r>
      <w:r w:rsidRPr="004225A2">
        <w:rPr>
          <w:b/>
          <w:sz w:val="24"/>
          <w:szCs w:val="24"/>
          <w:lang w:val="ro-MD"/>
        </w:rPr>
        <w:t xml:space="preserve">         </w:t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 w:rsidRPr="004225A2">
        <w:rPr>
          <w:b/>
          <w:sz w:val="24"/>
          <w:szCs w:val="24"/>
          <w:lang w:val="ro-MD"/>
        </w:rPr>
        <w:t xml:space="preserve">      L.Ș.</w:t>
      </w:r>
    </w:p>
    <w:p w:rsidR="00BB0C4E" w:rsidRPr="00230749" w:rsidRDefault="00BB0C4E">
      <w:pPr>
        <w:rPr>
          <w:lang w:val="ro-MD"/>
        </w:rPr>
      </w:pPr>
    </w:p>
    <w:sectPr w:rsidR="00BB0C4E" w:rsidRPr="00230749" w:rsidSect="00C95681">
      <w:footerReference w:type="default" r:id="rId9"/>
      <w:pgSz w:w="11906" w:h="16838"/>
      <w:pgMar w:top="567" w:right="567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BD" w:rsidRDefault="00272CBD">
      <w:r>
        <w:separator/>
      </w:r>
    </w:p>
  </w:endnote>
  <w:endnote w:type="continuationSeparator" w:id="0">
    <w:p w:rsidR="00272CBD" w:rsidRDefault="002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230749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05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BD" w:rsidRDefault="00272CBD">
      <w:r>
        <w:separator/>
      </w:r>
    </w:p>
  </w:footnote>
  <w:footnote w:type="continuationSeparator" w:id="0">
    <w:p w:rsidR="00272CBD" w:rsidRDefault="0027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6"/>
    <w:rsid w:val="00001C9D"/>
    <w:rsid w:val="00037DA6"/>
    <w:rsid w:val="00043E5D"/>
    <w:rsid w:val="00071588"/>
    <w:rsid w:val="000A125A"/>
    <w:rsid w:val="000B443F"/>
    <w:rsid w:val="000C4BE2"/>
    <w:rsid w:val="000C5C36"/>
    <w:rsid w:val="00104536"/>
    <w:rsid w:val="00105987"/>
    <w:rsid w:val="00132E08"/>
    <w:rsid w:val="001506EE"/>
    <w:rsid w:val="00161E48"/>
    <w:rsid w:val="00173BC7"/>
    <w:rsid w:val="00183ADE"/>
    <w:rsid w:val="001E474D"/>
    <w:rsid w:val="001F1145"/>
    <w:rsid w:val="002044A4"/>
    <w:rsid w:val="00210EB3"/>
    <w:rsid w:val="00230423"/>
    <w:rsid w:val="00230749"/>
    <w:rsid w:val="00241694"/>
    <w:rsid w:val="00252197"/>
    <w:rsid w:val="00272CBD"/>
    <w:rsid w:val="00272ED7"/>
    <w:rsid w:val="00277E0A"/>
    <w:rsid w:val="002A5BB1"/>
    <w:rsid w:val="002A5DD0"/>
    <w:rsid w:val="002C69BC"/>
    <w:rsid w:val="002C6F06"/>
    <w:rsid w:val="002D0F9D"/>
    <w:rsid w:val="002D4DDE"/>
    <w:rsid w:val="002E458C"/>
    <w:rsid w:val="002F5DEA"/>
    <w:rsid w:val="003221D4"/>
    <w:rsid w:val="00323F0E"/>
    <w:rsid w:val="00331506"/>
    <w:rsid w:val="00342573"/>
    <w:rsid w:val="003651AD"/>
    <w:rsid w:val="003678E2"/>
    <w:rsid w:val="00373CEB"/>
    <w:rsid w:val="00377D48"/>
    <w:rsid w:val="00383654"/>
    <w:rsid w:val="00395212"/>
    <w:rsid w:val="003C2250"/>
    <w:rsid w:val="003F2AD5"/>
    <w:rsid w:val="004012A5"/>
    <w:rsid w:val="004332AC"/>
    <w:rsid w:val="004339B6"/>
    <w:rsid w:val="00436BBF"/>
    <w:rsid w:val="00455FFD"/>
    <w:rsid w:val="00464714"/>
    <w:rsid w:val="0047501D"/>
    <w:rsid w:val="00476C7A"/>
    <w:rsid w:val="00487CFE"/>
    <w:rsid w:val="004917DC"/>
    <w:rsid w:val="004A1966"/>
    <w:rsid w:val="004B2568"/>
    <w:rsid w:val="004C4B92"/>
    <w:rsid w:val="004C7740"/>
    <w:rsid w:val="00503377"/>
    <w:rsid w:val="005120BC"/>
    <w:rsid w:val="00531583"/>
    <w:rsid w:val="0054075D"/>
    <w:rsid w:val="005C14B5"/>
    <w:rsid w:val="005D53D4"/>
    <w:rsid w:val="005D69C5"/>
    <w:rsid w:val="006005B4"/>
    <w:rsid w:val="006205A4"/>
    <w:rsid w:val="00683D09"/>
    <w:rsid w:val="006B18F9"/>
    <w:rsid w:val="006C1A8B"/>
    <w:rsid w:val="006C2594"/>
    <w:rsid w:val="006C51A5"/>
    <w:rsid w:val="006C61E3"/>
    <w:rsid w:val="006D682A"/>
    <w:rsid w:val="006E30E6"/>
    <w:rsid w:val="006E566E"/>
    <w:rsid w:val="006F34B1"/>
    <w:rsid w:val="00703BF8"/>
    <w:rsid w:val="0073050B"/>
    <w:rsid w:val="00733A22"/>
    <w:rsid w:val="007560F0"/>
    <w:rsid w:val="00765CBA"/>
    <w:rsid w:val="0077146F"/>
    <w:rsid w:val="007739C7"/>
    <w:rsid w:val="007B5EFB"/>
    <w:rsid w:val="007D1BD7"/>
    <w:rsid w:val="00803C48"/>
    <w:rsid w:val="0081733A"/>
    <w:rsid w:val="008250D4"/>
    <w:rsid w:val="00835C0E"/>
    <w:rsid w:val="00862AA7"/>
    <w:rsid w:val="0086608D"/>
    <w:rsid w:val="0088027B"/>
    <w:rsid w:val="00893D20"/>
    <w:rsid w:val="008B0E2F"/>
    <w:rsid w:val="008C1988"/>
    <w:rsid w:val="008D2535"/>
    <w:rsid w:val="008D2D57"/>
    <w:rsid w:val="008E7AD6"/>
    <w:rsid w:val="008F2649"/>
    <w:rsid w:val="009001D3"/>
    <w:rsid w:val="00912767"/>
    <w:rsid w:val="00921FEE"/>
    <w:rsid w:val="00940162"/>
    <w:rsid w:val="0098428B"/>
    <w:rsid w:val="00985198"/>
    <w:rsid w:val="00996EB6"/>
    <w:rsid w:val="009A72E7"/>
    <w:rsid w:val="009B049B"/>
    <w:rsid w:val="009C79F5"/>
    <w:rsid w:val="009F0D0F"/>
    <w:rsid w:val="009F1765"/>
    <w:rsid w:val="00A07552"/>
    <w:rsid w:val="00A21C68"/>
    <w:rsid w:val="00A31640"/>
    <w:rsid w:val="00A457A4"/>
    <w:rsid w:val="00A45D37"/>
    <w:rsid w:val="00A5184C"/>
    <w:rsid w:val="00A60400"/>
    <w:rsid w:val="00A818C9"/>
    <w:rsid w:val="00A85DE7"/>
    <w:rsid w:val="00A8759F"/>
    <w:rsid w:val="00AA72B7"/>
    <w:rsid w:val="00AC07BB"/>
    <w:rsid w:val="00AE0951"/>
    <w:rsid w:val="00B055D1"/>
    <w:rsid w:val="00B101D7"/>
    <w:rsid w:val="00B37E9C"/>
    <w:rsid w:val="00B4715F"/>
    <w:rsid w:val="00B55728"/>
    <w:rsid w:val="00B77932"/>
    <w:rsid w:val="00B82A96"/>
    <w:rsid w:val="00B9299E"/>
    <w:rsid w:val="00BA7F05"/>
    <w:rsid w:val="00BB0C4E"/>
    <w:rsid w:val="00BB0FC2"/>
    <w:rsid w:val="00BC3B66"/>
    <w:rsid w:val="00C114E7"/>
    <w:rsid w:val="00C119BA"/>
    <w:rsid w:val="00C671AA"/>
    <w:rsid w:val="00C71056"/>
    <w:rsid w:val="00C80640"/>
    <w:rsid w:val="00C85E9F"/>
    <w:rsid w:val="00C86580"/>
    <w:rsid w:val="00C95681"/>
    <w:rsid w:val="00CB722C"/>
    <w:rsid w:val="00CC4D41"/>
    <w:rsid w:val="00CE6220"/>
    <w:rsid w:val="00D24672"/>
    <w:rsid w:val="00D26798"/>
    <w:rsid w:val="00D326E7"/>
    <w:rsid w:val="00D509FF"/>
    <w:rsid w:val="00D75E79"/>
    <w:rsid w:val="00D77835"/>
    <w:rsid w:val="00DA6C77"/>
    <w:rsid w:val="00DC1138"/>
    <w:rsid w:val="00DC5042"/>
    <w:rsid w:val="00DC5050"/>
    <w:rsid w:val="00DE1295"/>
    <w:rsid w:val="00DE2A52"/>
    <w:rsid w:val="00E07239"/>
    <w:rsid w:val="00E231B2"/>
    <w:rsid w:val="00E76B4A"/>
    <w:rsid w:val="00E77329"/>
    <w:rsid w:val="00E959FB"/>
    <w:rsid w:val="00EB473B"/>
    <w:rsid w:val="00EC667A"/>
    <w:rsid w:val="00ED3F44"/>
    <w:rsid w:val="00EE1F1D"/>
    <w:rsid w:val="00F06379"/>
    <w:rsid w:val="00F14B31"/>
    <w:rsid w:val="00F1552D"/>
    <w:rsid w:val="00F17FC4"/>
    <w:rsid w:val="00F21D30"/>
    <w:rsid w:val="00F32E9D"/>
    <w:rsid w:val="00F416CB"/>
    <w:rsid w:val="00F42760"/>
    <w:rsid w:val="00F45477"/>
    <w:rsid w:val="00F55404"/>
    <w:rsid w:val="00F71E80"/>
    <w:rsid w:val="00F80B1E"/>
    <w:rsid w:val="00F87B62"/>
    <w:rsid w:val="00F91A0A"/>
    <w:rsid w:val="00F95F0D"/>
    <w:rsid w:val="00FC41F4"/>
    <w:rsid w:val="00FD5104"/>
    <w:rsid w:val="00FD643D"/>
    <w:rsid w:val="00FF1DBE"/>
    <w:rsid w:val="00FF53C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6C570-EE65-491A-9BC3-AC4A7C1D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BodyText"/>
    <w:next w:val="Normal"/>
    <w:link w:val="Heading1Char"/>
    <w:qFormat/>
    <w:rsid w:val="00230749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749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Footer">
    <w:name w:val="footer"/>
    <w:basedOn w:val="Normal"/>
    <w:link w:val="FooterChar"/>
    <w:rsid w:val="002307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307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230749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7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1"/>
    <w:rsid w:val="0023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7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4C77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5BAA-28D8-4FC3-B01E-E5FE441B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Valentina</dc:creator>
  <cp:keywords/>
  <dc:description/>
  <cp:lastModifiedBy>Dragan Valentina</cp:lastModifiedBy>
  <cp:revision>176</cp:revision>
  <dcterms:created xsi:type="dcterms:W3CDTF">2021-06-29T14:09:00Z</dcterms:created>
  <dcterms:modified xsi:type="dcterms:W3CDTF">2021-07-08T07:02:00Z</dcterms:modified>
</cp:coreProperties>
</file>