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hanging="0" w:left="0" w:right="0"/>
        <w:jc w:val="center"/>
        <w:rPr>
          <w:rFonts w:ascii="Liberation Serif" w:hAnsi="Liberation Serif" w:eastAsia="Times New Roman"/>
          <w:b/>
          <w:bCs/>
          <w:sz w:val="24"/>
          <w:szCs w:val="24"/>
          <w:lang w:val="en-US" w:eastAsia="ru-MD"/>
        </w:rPr>
      </w:pPr>
      <w:r>
        <w:rPr>
          <w:rFonts w:eastAsia="Times New Roman" w:ascii="Times New Roman" w:hAnsi="Times New Roman"/>
          <w:b/>
          <w:bCs/>
          <w:sz w:val="24"/>
          <w:szCs w:val="24"/>
          <w:lang w:val="en-US" w:eastAsia="ru-MD"/>
        </w:rPr>
        <w:t>CAIET DE SARCINI</w:t>
      </w:r>
    </w:p>
    <w:p>
      <w:pPr>
        <w:pStyle w:val="Normal"/>
        <w:bidi w:val="0"/>
        <w:ind w:hanging="0" w:left="0" w:right="0"/>
        <w:jc w:val="center"/>
        <w:rPr>
          <w:rFonts w:ascii="Liberation Serif" w:hAnsi="Liberation Serif" w:eastAsia="Times New Roman"/>
          <w:b/>
          <w:bCs/>
          <w:sz w:val="24"/>
          <w:szCs w:val="24"/>
          <w:lang w:val="en-US" w:eastAsia="ru-MD"/>
        </w:rPr>
      </w:pPr>
      <w:r>
        <w:rPr>
          <w:rFonts w:eastAsia="Times New Roman" w:ascii="Times New Roman" w:hAnsi="Times New Roman"/>
          <w:b/>
          <w:bCs/>
          <w:sz w:val="24"/>
          <w:szCs w:val="24"/>
          <w:lang w:val="en-US" w:eastAsia="ru-MD"/>
        </w:rPr>
        <w:t>PENTRU  CEREREA OFERTEI  DE  PREŢ</w:t>
      </w:r>
    </w:p>
    <w:p>
      <w:pPr>
        <w:pStyle w:val="Normal"/>
        <w:bidi w:val="0"/>
        <w:ind w:hanging="0" w:left="0" w:right="0"/>
        <w:rPr>
          <w:rFonts w:ascii="Liberation Serif" w:hAnsi="Liberation Serif" w:eastAsia="Times New Roman"/>
          <w:b/>
          <w:bCs/>
          <w:sz w:val="24"/>
          <w:szCs w:val="24"/>
          <w:lang w:val="en-US" w:eastAsia="ru-MD"/>
        </w:rPr>
      </w:pPr>
      <w:r>
        <w:rPr>
          <w:rFonts w:eastAsia="Times New Roman" w:ascii="Times New Roman" w:hAnsi="Times New Roman"/>
          <w:b/>
          <w:bCs/>
          <w:sz w:val="24"/>
          <w:szCs w:val="24"/>
          <w:lang w:val="en-US" w:eastAsia="ru-MD"/>
        </w:rPr>
      </w:r>
    </w:p>
    <w:p>
      <w:pPr>
        <w:pStyle w:val="Normal"/>
        <w:bidi w:val="0"/>
        <w:ind w:hanging="0" w:left="0" w:right="0"/>
        <w:rPr>
          <w:rFonts w:ascii="Liberation Serif" w:hAnsi="Liberation Serif" w:eastAsia="Times New Roman"/>
          <w:sz w:val="24"/>
          <w:szCs w:val="24"/>
          <w:lang w:val="en-US" w:eastAsia="ru-MD"/>
        </w:rPr>
      </w:pPr>
      <w:r>
        <w:rPr>
          <w:rFonts w:eastAsia="Times New Roman" w:ascii="Times New Roman" w:hAnsi="Times New Roman"/>
          <w:b/>
          <w:bCs/>
          <w:sz w:val="24"/>
          <w:szCs w:val="24"/>
          <w:lang w:val="en-US" w:eastAsia="ru-MD"/>
        </w:rPr>
        <w:t xml:space="preserve">1. Denumerea beneficiarului de stat   </w:t>
      </w:r>
      <w:r>
        <w:rPr>
          <w:rFonts w:eastAsia="Times New Roman" w:ascii="Times New Roman" w:hAnsi="Times New Roman"/>
          <w:b/>
          <w:bCs/>
          <w:sz w:val="24"/>
          <w:szCs w:val="24"/>
          <w:u w:val="single"/>
          <w:lang w:val="en-US" w:eastAsia="ru-MD"/>
        </w:rPr>
        <w:t>Primaria Radenii Vechi</w:t>
      </w:r>
    </w:p>
    <w:p>
      <w:pPr>
        <w:pStyle w:val="Normal"/>
        <w:bidi w:val="0"/>
        <w:ind w:hanging="0" w:left="0" w:right="0"/>
        <w:rPr>
          <w:rFonts w:ascii="Liberation Serif" w:hAnsi="Liberation Serif" w:eastAsia="Times New Roman"/>
          <w:sz w:val="24"/>
          <w:szCs w:val="24"/>
          <w:lang w:val="en-US" w:eastAsia="ru-MD"/>
        </w:rPr>
      </w:pPr>
      <w:r>
        <w:rPr>
          <w:rFonts w:eastAsia="Times New Roman" w:ascii="Times New Roman" w:hAnsi="Times New Roman"/>
          <w:b/>
          <w:bCs/>
          <w:sz w:val="24"/>
          <w:szCs w:val="24"/>
          <w:lang w:val="en-US" w:eastAsia="ru-MD"/>
        </w:rPr>
        <w:t>2. Organizatorul procedurii de achizi</w:t>
      </w:r>
      <w:r>
        <w:rPr>
          <w:rFonts w:eastAsia="Times New Roman" w:ascii="Times New Roman" w:hAnsi="Times New Roman"/>
          <w:b/>
          <w:bCs/>
          <w:sz w:val="24"/>
          <w:szCs w:val="24"/>
          <w:lang w:val="ro-RO" w:eastAsia="ru-MD"/>
        </w:rPr>
        <w:t>ţ</w:t>
      </w:r>
      <w:r>
        <w:rPr>
          <w:rFonts w:eastAsia="Times New Roman" w:ascii="Times New Roman" w:hAnsi="Times New Roman"/>
          <w:b/>
          <w:bCs/>
          <w:sz w:val="24"/>
          <w:szCs w:val="24"/>
          <w:lang w:val="en-US" w:eastAsia="ru-MD"/>
        </w:rPr>
        <w:t>ie</w:t>
      </w:r>
      <w:r>
        <w:rPr>
          <w:rFonts w:eastAsia="Times New Roman" w:ascii="Times New Roman" w:hAnsi="Times New Roman"/>
          <w:sz w:val="24"/>
          <w:szCs w:val="24"/>
          <w:lang w:val="en-US" w:eastAsia="ru-MD"/>
        </w:rPr>
        <w:t xml:space="preserve"> </w:t>
      </w:r>
      <w:r>
        <w:rPr>
          <w:rFonts w:eastAsia="Times New Roman" w:ascii="Times New Roman" w:hAnsi="Times New Roman"/>
          <w:b/>
          <w:bCs/>
          <w:sz w:val="24"/>
          <w:szCs w:val="24"/>
          <w:u w:val="single"/>
          <w:lang w:val="en-US" w:eastAsia="ru-MD"/>
        </w:rPr>
        <w:t>Primaria Radenii Vechi</w:t>
      </w:r>
    </w:p>
    <w:p>
      <w:pPr>
        <w:pStyle w:val="Normal"/>
        <w:bidi w:val="0"/>
        <w:ind w:hanging="0" w:left="0" w:right="0"/>
        <w:rPr>
          <w:rFonts w:ascii="Liberation Serif" w:hAnsi="Liberation Serif" w:eastAsia="Times New Roman"/>
          <w:b/>
          <w:bCs/>
          <w:sz w:val="24"/>
          <w:szCs w:val="24"/>
          <w:u w:val="single"/>
          <w:lang w:val="en-US" w:eastAsia="ru-MD"/>
        </w:rPr>
      </w:pPr>
      <w:r>
        <w:rPr>
          <w:rFonts w:eastAsia="Times New Roman" w:ascii="Times New Roman" w:hAnsi="Times New Roman"/>
          <w:b/>
          <w:bCs/>
          <w:sz w:val="24"/>
          <w:szCs w:val="24"/>
          <w:lang w:val="en-US" w:eastAsia="ru-MD"/>
        </w:rPr>
        <w:t>3. Obiectul achiziţiilor</w:t>
      </w:r>
      <w:r>
        <w:rPr>
          <w:rFonts w:eastAsia="Times New Roman" w:ascii="Times New Roman" w:hAnsi="Times New Roman"/>
          <w:sz w:val="24"/>
          <w:szCs w:val="24"/>
          <w:lang w:val="en-US" w:eastAsia="ru-MD"/>
        </w:rPr>
        <w:t xml:space="preserve">  </w:t>
      </w:r>
      <w:r>
        <w:rPr>
          <w:rFonts w:eastAsia="Times New Roman" w:ascii="Times New Roman" w:hAnsi="Times New Roman"/>
          <w:b/>
          <w:bCs/>
          <w:sz w:val="24"/>
          <w:szCs w:val="24"/>
          <w:u w:val="single"/>
          <w:lang w:val="en-US" w:eastAsia="ru-MD"/>
        </w:rPr>
        <w:t>Construirea conductei de aductiune  a apei de la sonda 1446 spre turnurile de apa a s.Radenii Vechi rnul  Ungheni</w:t>
      </w:r>
    </w:p>
    <w:p>
      <w:pPr>
        <w:pStyle w:val="Normal"/>
        <w:bidi w:val="0"/>
        <w:ind w:hanging="0" w:left="0" w:right="0"/>
        <w:rPr>
          <w:rFonts w:ascii="Liberation Serif" w:hAnsi="Liberation Serif" w:eastAsia="Times New Roman"/>
          <w:b/>
          <w:bCs/>
          <w:sz w:val="24"/>
          <w:szCs w:val="24"/>
          <w:u w:val="single"/>
          <w:lang w:val="en-US" w:eastAsia="ru-MD"/>
        </w:rPr>
      </w:pPr>
      <w:r>
        <w:rPr>
          <w:rFonts w:eastAsia="Times New Roman" w:ascii="Times New Roman" w:hAnsi="Times New Roman"/>
          <w:b/>
          <w:bCs/>
          <w:sz w:val="24"/>
          <w:szCs w:val="24"/>
          <w:u w:val="single"/>
          <w:lang w:val="en-US" w:eastAsia="ru-MD"/>
        </w:rPr>
      </w:r>
    </w:p>
    <w:p>
      <w:pPr>
        <w:pStyle w:val="Normal"/>
        <w:bidi w:val="0"/>
        <w:ind w:hanging="0" w:left="0" w:right="0"/>
        <w:rPr>
          <w:rFonts w:ascii="Liberation Serif" w:hAnsi="Liberation Serif" w:eastAsia="Times New Roman"/>
          <w:b/>
          <w:bCs/>
          <w:sz w:val="24"/>
          <w:szCs w:val="24"/>
          <w:lang w:val="en-US" w:eastAsia="ru-MD"/>
        </w:rPr>
      </w:pPr>
      <w:r>
        <w:rPr>
          <w:rFonts w:eastAsia="Times New Roman" w:ascii="Times New Roman" w:hAnsi="Times New Roman"/>
          <w:b/>
          <w:bCs/>
          <w:sz w:val="24"/>
          <w:szCs w:val="24"/>
          <w:lang w:val="en-US" w:eastAsia="ru-MD"/>
        </w:rPr>
      </w:r>
    </w:p>
    <w:p>
      <w:pPr>
        <w:pStyle w:val="Normal"/>
        <w:bidi w:val="0"/>
        <w:ind w:hanging="0" w:left="0" w:right="0"/>
        <w:jc w:val="center"/>
        <w:rPr>
          <w:rFonts w:ascii="Liberation Serif" w:hAnsi="Liberation Serif"/>
          <w:b/>
          <w:bCs/>
          <w:sz w:val="28"/>
          <w:szCs w:val="28"/>
          <w:lang w:val="en-US"/>
        </w:rPr>
      </w:pPr>
      <w:r>
        <w:rPr>
          <w:rFonts w:ascii="Times New Roman" w:hAnsi="Times New Roman"/>
          <w:b/>
          <w:bCs/>
          <w:sz w:val="28"/>
          <w:szCs w:val="28"/>
          <w:lang w:val="en-US"/>
        </w:rPr>
        <w:t xml:space="preserve"> </w:t>
      </w:r>
      <w:r>
        <w:rPr>
          <w:rFonts w:ascii="Times New Roman" w:hAnsi="Times New Roman"/>
          <w:b/>
          <w:bCs/>
          <w:sz w:val="28"/>
          <w:szCs w:val="28"/>
          <w:lang w:val="en-US"/>
        </w:rPr>
        <w:t>Statia de pompare II. Montarea utilajului tehnologic</w:t>
      </w:r>
    </w:p>
    <w:p>
      <w:pPr>
        <w:pStyle w:val="Normal"/>
        <w:bidi w:val="0"/>
        <w:ind w:hanging="0" w:left="0" w:right="0"/>
        <w:jc w:val="center"/>
        <w:rPr>
          <w:rFonts w:ascii="Liberation Serif" w:hAnsi="Liberation Serif"/>
          <w:b/>
          <w:bCs/>
          <w:sz w:val="28"/>
          <w:szCs w:val="28"/>
          <w:lang w:val="en-US"/>
        </w:rPr>
      </w:pPr>
      <w:r>
        <w:rPr>
          <w:rFonts w:ascii="Times New Roman" w:hAnsi="Times New Roman"/>
          <w:b/>
          <w:bCs/>
          <w:sz w:val="28"/>
          <w:szCs w:val="28"/>
          <w:lang w:val="en-US"/>
        </w:rPr>
      </w:r>
    </w:p>
    <w:p>
      <w:pPr>
        <w:pStyle w:val="Normal"/>
        <w:bidi w:val="0"/>
        <w:ind w:hanging="0" w:left="0" w:right="0"/>
        <w:rPr>
          <w:rFonts w:ascii="Liberation Serif" w:hAnsi="Liberation Serif"/>
          <w:sz w:val="24"/>
          <w:szCs w:val="24"/>
          <w:lang w:val="en-US"/>
        </w:rPr>
      </w:pPr>
      <w:r>
        <w:rPr>
          <w:rFonts w:ascii="Times New Roman" w:hAnsi="Times New Roman"/>
          <w:sz w:val="24"/>
          <w:szCs w:val="24"/>
          <w:lang w:val="ro-RO"/>
        </w:rPr>
        <w:t>I</w:t>
      </w:r>
      <w:r>
        <w:rPr>
          <w:rFonts w:ascii="Times New Roman" w:hAnsi="Times New Roman"/>
          <w:sz w:val="24"/>
          <w:szCs w:val="24"/>
          <w:lang w:val="en-US"/>
        </w:rPr>
        <w:t>ntocmit in preţuri  curente 15.06.2026</w:t>
      </w:r>
    </w:p>
    <w:tbl>
      <w:tblPr>
        <w:tblW w:w="10490" w:type="dxa"/>
        <w:jc w:val="left"/>
        <w:tblInd w:w="-452" w:type="dxa"/>
        <w:tblLayout w:type="fixed"/>
        <w:tblCellMar>
          <w:top w:w="0" w:type="dxa"/>
          <w:left w:w="108" w:type="dxa"/>
          <w:bottom w:w="0" w:type="dxa"/>
          <w:right w:w="108" w:type="dxa"/>
        </w:tblCellMar>
      </w:tblPr>
      <w:tblGrid>
        <w:gridCol w:w="709"/>
        <w:gridCol w:w="1275"/>
        <w:gridCol w:w="3545"/>
        <w:gridCol w:w="849"/>
        <w:gridCol w:w="1276"/>
        <w:gridCol w:w="1417"/>
        <w:gridCol w:w="1418"/>
      </w:tblGrid>
      <w:tr>
        <w:trPr>
          <w:trHeight w:val="314" w:hRule="atLeast"/>
          <w:cantSplit w:val="true"/>
        </w:trPr>
        <w:tc>
          <w:tcPr>
            <w:tcW w:w="70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lang w:val="en-US"/>
              </w:rPr>
              <w:t>№</w:t>
            </w:r>
          </w:p>
          <w:p>
            <w:pPr>
              <w:pStyle w:val="Normal"/>
              <w:tabs>
                <w:tab w:val="clear" w:pos="720"/>
              </w:tabs>
              <w:bidi w:val="0"/>
              <w:ind w:hanging="0" w:left="0" w:right="-108"/>
              <w:jc w:val="center"/>
              <w:rPr>
                <w:lang w:val="en-US"/>
              </w:rPr>
            </w:pPr>
            <w:r>
              <w:rPr>
                <w:rFonts w:ascii="Times New Roman" w:hAnsi="Times New Roman"/>
                <w:sz w:val="22"/>
                <w:szCs w:val="22"/>
                <w:lang w:val="en-US"/>
              </w:rPr>
              <w:t>crt.</w:t>
            </w:r>
          </w:p>
        </w:tc>
        <w:tc>
          <w:tcPr>
            <w:tcW w:w="1275"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norme</w:t>
            </w:r>
            <w:r>
              <w:rPr>
                <w:rFonts w:ascii="Times New Roman" w:hAnsi="Times New Roman"/>
                <w:sz w:val="22"/>
                <w:szCs w:val="22"/>
                <w:lang w:val="en-US"/>
              </w:rPr>
              <w:t xml:space="preserve"> </w:t>
            </w:r>
            <w:r>
              <w:rPr>
                <w:rFonts w:ascii="Times New Roman" w:hAnsi="Times New Roman"/>
                <w:sz w:val="22"/>
                <w:szCs w:val="22"/>
                <w:lang w:val="ro-RO"/>
              </w:rPr>
              <w:t xml:space="preserve">şi Cod </w:t>
            </w:r>
            <w:r>
              <w:rPr>
                <w:rFonts w:ascii="Times New Roman" w:hAnsi="Times New Roman"/>
                <w:sz w:val="22"/>
                <w:szCs w:val="22"/>
                <w:lang w:val="en-US"/>
              </w:rPr>
              <w:t xml:space="preserve"> </w:t>
            </w:r>
            <w:r>
              <w:rPr>
                <w:rFonts w:ascii="Times New Roman" w:hAnsi="Times New Roman"/>
                <w:sz w:val="22"/>
                <w:szCs w:val="22"/>
                <w:lang w:val="ro-RO"/>
              </w:rPr>
              <w:t>resurse</w:t>
            </w:r>
          </w:p>
        </w:tc>
        <w:tc>
          <w:tcPr>
            <w:tcW w:w="3545"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Lucrări şi cheltuieli</w:t>
            </w:r>
          </w:p>
        </w:tc>
        <w:tc>
          <w:tcPr>
            <w:tcW w:w="84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08" w:right="-108"/>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108" w:right="-108"/>
              <w:jc w:val="center"/>
              <w:rPr>
                <w:lang w:val="ro-RO"/>
              </w:rPr>
            </w:pPr>
            <w:r>
              <w:rPr>
                <w:rFonts w:ascii="Times New Roman" w:hAnsi="Times New Roman"/>
                <w:sz w:val="22"/>
                <w:szCs w:val="22"/>
                <w:lang w:val="ro-RO"/>
              </w:rPr>
              <w:t>U.M.</w:t>
            </w:r>
          </w:p>
        </w:tc>
        <w:tc>
          <w:tcPr>
            <w:tcW w:w="1276"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08" w:right="-108"/>
              <w:jc w:val="center"/>
              <w:rPr>
                <w:lang w:val="ro-RO"/>
              </w:rPr>
            </w:pPr>
            <w:r>
              <w:rPr>
                <w:rFonts w:ascii="Times New Roman" w:hAnsi="Times New Roman"/>
                <w:sz w:val="22"/>
                <w:szCs w:val="22"/>
                <w:lang w:val="ro-RO"/>
              </w:rPr>
              <w:t>Cantitate conform datelor din proiect</w:t>
            </w:r>
          </w:p>
        </w:tc>
        <w:tc>
          <w:tcPr>
            <w:tcW w:w="2835" w:type="dxa"/>
            <w:gridSpan w:val="2"/>
            <w:tcBorders>
              <w:top w:val="single" w:sz="6" w:space="0" w:color="000000"/>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cantSplit w:val="true"/>
        </w:trPr>
        <w:tc>
          <w:tcPr>
            <w:tcW w:w="70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3545"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84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tcBorders>
              <w:left w:val="single" w:sz="4" w:space="0" w:color="000000"/>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8" w:type="dxa"/>
            <w:tcBorders>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0" w:type="dxa"/>
        <w:tblLayout w:type="fixed"/>
        <w:tblCellMar>
          <w:top w:w="0" w:type="dxa"/>
          <w:left w:w="108" w:type="dxa"/>
          <w:bottom w:w="0" w:type="dxa"/>
          <w:right w:w="108" w:type="dxa"/>
        </w:tblCellMar>
      </w:tblPr>
      <w:tblGrid>
        <w:gridCol w:w="674"/>
        <w:gridCol w:w="35"/>
        <w:gridCol w:w="1099"/>
        <w:gridCol w:w="176"/>
        <w:gridCol w:w="2599"/>
        <w:gridCol w:w="236"/>
        <w:gridCol w:w="710"/>
        <w:gridCol w:w="505"/>
        <w:gridCol w:w="344"/>
        <w:gridCol w:w="142"/>
        <w:gridCol w:w="933"/>
        <w:gridCol w:w="201"/>
        <w:gridCol w:w="1217"/>
        <w:gridCol w:w="200"/>
        <w:gridCol w:w="1418"/>
      </w:tblGrid>
      <w:tr>
        <w:trPr>
          <w:cantSplit w:val="true"/>
        </w:trPr>
        <w:tc>
          <w:tcPr>
            <w:tcW w:w="70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lang w:val="en-US"/>
              </w:rPr>
            </w:pPr>
            <w:r>
              <w:rPr>
                <w:rFonts w:ascii="Times New Roman" w:hAnsi="Times New Roman"/>
                <w:sz w:val="22"/>
                <w:szCs w:val="22"/>
                <w:lang w:val="en-US"/>
              </w:rPr>
              <w:t>1</w:t>
            </w:r>
          </w:p>
        </w:tc>
        <w:tc>
          <w:tcPr>
            <w:tcW w:w="1275"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lang w:val="en-US"/>
              </w:rPr>
            </w:pPr>
            <w:r>
              <w:rPr>
                <w:rFonts w:ascii="Times New Roman" w:hAnsi="Times New Roman"/>
                <w:sz w:val="22"/>
                <w:szCs w:val="22"/>
                <w:lang w:val="en-US"/>
              </w:rPr>
              <w:t>2</w:t>
            </w:r>
          </w:p>
        </w:tc>
        <w:tc>
          <w:tcPr>
            <w:tcW w:w="3545"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3</w:t>
            </w:r>
          </w:p>
        </w:tc>
        <w:tc>
          <w:tcPr>
            <w:tcW w:w="84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lang w:val="en-US"/>
              </w:rPr>
            </w:pPr>
            <w:r>
              <w:rPr>
                <w:rFonts w:ascii="Times New Roman" w:hAnsi="Times New Roman"/>
                <w:sz w:val="22"/>
                <w:szCs w:val="22"/>
                <w:lang w:val="en-US"/>
              </w:rPr>
              <w:t>4</w:t>
            </w:r>
          </w:p>
        </w:tc>
        <w:tc>
          <w:tcPr>
            <w:tcW w:w="1276"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lang w:val="en-US"/>
              </w:rPr>
            </w:pPr>
            <w:r>
              <w:rPr>
                <w:rFonts w:ascii="Times New Roman" w:hAnsi="Times New Roman"/>
                <w:sz w:val="22"/>
                <w:szCs w:val="22"/>
                <w:lang w:val="en-US"/>
              </w:rPr>
              <w:t>5</w:t>
            </w:r>
          </w:p>
        </w:tc>
        <w:tc>
          <w:tcPr>
            <w:tcW w:w="1417" w:type="dxa"/>
            <w:gridSpan w:val="2"/>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6</w:t>
            </w:r>
          </w:p>
        </w:tc>
        <w:tc>
          <w:tcPr>
            <w:tcW w:w="1418"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7</w:t>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lang w:val="en-US"/>
              </w:rPr>
            </w:pPr>
            <w:r>
              <w:rPr>
                <w:rFonts w:ascii="Times New Roman" w:hAnsi="Times New Roman"/>
                <w:sz w:val="22"/>
                <w:szCs w:val="22"/>
                <w:lang w:val="en-US"/>
              </w:rPr>
              <w:t xml:space="preserve"> </w:t>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 Montarea pompelor</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1.1. Lucrari de constructie</w:t>
            </w:r>
          </w:p>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0,2600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1,0660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2651122100397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metalurgic cu adaosuri M 30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74,9476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0,2006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0,1847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0,0765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0,0148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0,0047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0,0035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0,0005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AcA04A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1,9000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0,9500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252121670100 0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Teava din otel d=76x4,0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2,0149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2411115904512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Oxigen tehnic gazos S2031</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0,1795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2413547308164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Carbura de calciu tehnica (carbid) S102</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0,3990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Electrod  S 1125/2 E 51.5A1 1 dxl  5 x 450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0,2594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2320322600282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Bitum pentru protectie conducte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0,1397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2320322600374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Citom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0,0399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2112307324986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Hirtie, sulfit tip I, ptr. izolare conducta 80-100 gr/mp-sul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0,0399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2320156200951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Motorina motor DIESEL-ld</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0,2793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3110500003004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Convertizor de sudura de 14  kw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0,1140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2952270003306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Electropompa de apa 4-6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0,0019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AcA25A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2875274110150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Piesa de legatura din otel pentru sudura Flansa otel sudabila d=65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3,0600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3110320003006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termic de sudura de 1-14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AcA25A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мм)Cot din otel d=65 mm 90*</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2 875274110150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Piesa de legatura din otel pentru sudura Cot din otel d=65 mm 90*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3,0600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3110320003006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termic de sudura de 1-14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AcA25A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мм)Reductie concentrica otel sudabila d=65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28 75274110150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Piesa de legatura din otel pentru suduraReductie concentrica otel sudabila d=65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3110320003006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termic de sudura de 1-14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AcA25A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мм)Stut tip M filetat  la un capat d=32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28 7 5274110150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Piesa de legatura din otel pentru sudura Stut tip M filetat  la un capat d=32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3110320003006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termic de sudura de 1-14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SD20C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Racord olandez si cot cu racord olandez, zincat, cu etansare plana, avind filet interior-exterior, cu diametrul 1 1/4" -  2" (Щтуцер и колено со штуцером, оцинкованные, с плоской прокладкой, с внутренней и наружной резьбой, диаметр 1 1/4"-2")Racord olandezdrept FI-FI  PN32 d=32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7136020011620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apa, canal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2721204122300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Racord olandezdrept FI-FI  PN32 d=32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2513206621870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Placa marsit 3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0,1010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AcA10B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0,3000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0,0498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2521216701001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Teava din polietilena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0,3091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2010102901170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Bile, manele D=15-18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0,0011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2952270007602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Tirfor 1,5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2940420002422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Masina de sudura PE cu toate accesoriile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0,0037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AcA52B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 xml:space="preserve">Teava din polietilena, pentru conducte de alimentare cu apa montata in sant, cu diametrul de 75 mm. Nota: tipul tevii polietilena si banzii de avertizare se va include conform proiectului (Прокладка в траншее полиэтиленовых труб для сетей водопровода, диаметром 75 мм. </w:t>
            </w:r>
            <w:r>
              <w:rPr>
                <w:rFonts w:ascii="Times New Roman" w:hAnsi="Times New Roman"/>
                <w:sz w:val="24"/>
                <w:szCs w:val="24"/>
                <w:lang w:val="ru-MD"/>
              </w:rPr>
              <w:t>Примечание: маркировка полиэтиленовой трубы и сигнальной ленты включа</w:t>
            </w:r>
            <w:r>
              <w:rPr>
                <w:rFonts w:ascii="Times New Roman" w:hAnsi="Times New Roman"/>
                <w:sz w:val="24"/>
                <w:szCs w:val="24"/>
                <w:lang w:val="en-US"/>
              </w:rPr>
              <w:t>e</w:t>
            </w:r>
            <w:r>
              <w:rPr>
                <w:rFonts w:ascii="Times New Roman" w:hAnsi="Times New Roman"/>
                <w:sz w:val="24"/>
                <w:szCs w:val="24"/>
                <w:lang w:val="ru-MD"/>
              </w:rPr>
              <w:t>тся согласно проекту)</w:t>
            </w:r>
            <w:r>
              <w:rPr>
                <w:rFonts w:ascii="Times New Roman" w:hAnsi="Times New Roman"/>
                <w:sz w:val="24"/>
                <w:szCs w:val="24"/>
                <w:lang w:val="en-US"/>
              </w:rPr>
              <w:t>PE</w:t>
            </w:r>
            <w:r>
              <w:rPr>
                <w:rFonts w:ascii="Times New Roman" w:hAnsi="Times New Roman"/>
                <w:sz w:val="24"/>
                <w:szCs w:val="24"/>
                <w:lang w:val="ru-MD"/>
              </w:rPr>
              <w:t xml:space="preserve">100 </w:t>
            </w:r>
            <w:r>
              <w:rPr>
                <w:rFonts w:ascii="Times New Roman" w:hAnsi="Times New Roman"/>
                <w:sz w:val="24"/>
                <w:szCs w:val="24"/>
                <w:lang w:val="en-US"/>
              </w:rPr>
              <w:t>RC</w:t>
            </w:r>
            <w:r>
              <w:rPr>
                <w:rFonts w:ascii="Times New Roman" w:hAnsi="Times New Roman"/>
                <w:sz w:val="24"/>
                <w:szCs w:val="24"/>
                <w:lang w:val="ru-MD"/>
              </w:rPr>
              <w:t xml:space="preserve">  </w:t>
            </w:r>
            <w:r>
              <w:rPr>
                <w:rFonts w:ascii="Times New Roman" w:hAnsi="Times New Roman"/>
                <w:sz w:val="24"/>
                <w:szCs w:val="24"/>
                <w:lang w:val="en-US"/>
              </w:rPr>
              <w:t>SDR</w:t>
            </w:r>
            <w:r>
              <w:rPr>
                <w:rFonts w:ascii="Times New Roman" w:hAnsi="Times New Roman"/>
                <w:sz w:val="24"/>
                <w:szCs w:val="24"/>
                <w:lang w:val="ru-MD"/>
              </w:rPr>
              <w:t xml:space="preserve"> 6 </w:t>
            </w:r>
            <w:r>
              <w:rPr>
                <w:rFonts w:ascii="Times New Roman" w:hAnsi="Times New Roman"/>
                <w:sz w:val="24"/>
                <w:szCs w:val="24"/>
                <w:lang w:val="en-US"/>
              </w:rPr>
              <w:t>PN</w:t>
            </w:r>
            <w:r>
              <w:rPr>
                <w:rFonts w:ascii="Times New Roman" w:hAnsi="Times New Roman"/>
                <w:sz w:val="24"/>
                <w:szCs w:val="24"/>
                <w:lang w:val="ru-MD"/>
              </w:rPr>
              <w:t xml:space="preserve">32 </w:t>
            </w:r>
            <w:r>
              <w:rPr>
                <w:rFonts w:ascii="Times New Roman" w:hAnsi="Times New Roman"/>
                <w:sz w:val="24"/>
                <w:szCs w:val="24"/>
                <w:lang w:val="en-US"/>
              </w:rPr>
              <w:t>d</w:t>
            </w:r>
            <w:r>
              <w:rPr>
                <w:rFonts w:ascii="Times New Roman" w:hAnsi="Times New Roman"/>
                <w:sz w:val="24"/>
                <w:szCs w:val="24"/>
                <w:lang w:val="ru-MD"/>
              </w:rPr>
              <w:t xml:space="preserve">=75 </w:t>
            </w:r>
            <w:r>
              <w:rPr>
                <w:rFonts w:ascii="Times New Roman" w:hAnsi="Times New Roman"/>
                <w:sz w:val="24"/>
                <w:szCs w:val="24"/>
                <w:lang w:val="en-US"/>
              </w:rPr>
              <w:t>mm</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50,0000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7136080025000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Montator conducte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2 521216710001 1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Teava polietilena PE100 RC  SDR 6 PN32 d=75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50,1500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3410440005604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Tractor pe pneuri U 650 de 48 kw (65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pentru intindere teava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Asigurari sociale si medicale (VR) * 24 %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transport (VR) * 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depozit (VR) * 2 %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regie (VR+Asigur+Cheltu+Cheltu) * 14,5 %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14,5 %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Beneficiu de deviz (VR+Asigur+Cheltu+Cheltu+Cheltu) * 6 %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6 %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constructie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 Lucrari de montare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AcC06C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pe postament existent a pompelor de vid, centrifuge, cu Dn aspiratie pina la 40 mm (Установка на существующем постаменте вакуумных, центробежных насосов, диаметр до 40 мм)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2513736621810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Placi tehnice de cauciuc pentru garnituri cu insertie textila de 3 mm grosime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0,7828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cap hexagonal OL-37 M 10x60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2874115841435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hexagonale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2952270007602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Tirfor 1,5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AcB02B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robinetelor cu holendere de linie cu descarcare, din bronz, pe pozitie existenta (capatul conductei cu mufa sau flanse fixate) Dn=30 mm  (Установка в существующем месте, вентелей с голлендерами, линейных со сбросом, из бронзы (конец трубопровода - с муфтой или с закрепленными фланцами), диам. 30 мм)Vana fluture cu prindere intre flanse PN40 d=65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7136020011600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sanitar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2913124600000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Vana fluture cu prindere intre flanse PN40 d=65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2874115840600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Piulita olandeza cu racord din bronz</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2744125904770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Aliaj de lipit staniu-plumb LP-30 % 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0,0808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1714227322940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Cinepa fuior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0,0141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2430126103294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Vopsea minium de plumb  v.351-3 ntr 90-80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0,0141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2415107300100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Acid azotic tehnic (apa tare) 47 %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0,0141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2513736621810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Placi tehnice de cauciuc pentru garnituri cu insertie textila de 3 mm grosime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0,0151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2320116200573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Benzina auto tip CO/R 75</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0,6060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2414317346207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Stearina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0,0202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SE56A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Filtru pentru apa potabila, cu mufe filetata pentru montaj pe conducta, avind dimensiunea de 1" - 2" (Фильтр для питьевой воды с резьбовой муфтой для установки на трубы, диаметр 1"-2")</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7136020011620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apa, canal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2924127322065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Filtru pentru apa potabila d=32</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Asigurari sociale si medicale (VR) * 24 %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transport (VR) * 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depozit (VR) * 2 %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regie (VR) * 76 %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76 %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Beneficiu de deviz (VR+Asigur+Cheltu+Cheltu+Cheltu) * 6 %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6 %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montare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 Utilaj</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Pret de piata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Pompa de vid cu piston sau pompa centrifuga cu debit CRNE 3-23 Q- P-T-E -HQQE (sau analog) G-1,11M3/H, h=272,5 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 xml:space="preserve">Pompa de vid cu piston sau pompa centrifuga cu debit CRNE 3-23 Q- P-T-E -HQQE (sau analog) G-1,11M3/H, h=272,5 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Pret de piata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Vana fluture cu prindere intre flanse PN40 d=65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Vana fluture cu prindere intre flanse PN40 d=65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Pret de piata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Filtru pentru apa potabila d=32</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Filtru pentru apa potabila d=32</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depozit (VR) * 1,2 %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1,2 %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Utilaj</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Montarea pompelor</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2. Montarea retelelor interioare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2.1. Conducta de presiune cu clapeta de retinere d=65 mm </w:t>
            </w:r>
          </w:p>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AcA04A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 l</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2,5000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1,2500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252121670100 0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Teava din otel d=76x4,0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2,6512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2411115904512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Oxigen tehnic gazos S2031</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0,2363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2413547308164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Carbura de calciu tehnica (carbid) S102</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Electrod  S 1125/2 E 51.5A1 1 dxl  5 x 450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0,3412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2320322600282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Bitum pentru protectie conducte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0,1838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2320322600374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Citom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2112307324986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Hirtie, sulfit tip I, ptr. izolare conducta 80-100 gr/mp-sul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2320156200951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Motorina motor DIESEL-ld</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0,3675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3110500003004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Convertizor de sudura de 14  kw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2952270003306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Electropompa de apa 4-6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AcA25A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2875274110150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Piesa de legatura din otel pentru sudura Flansa otel sudabila d=65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3110320003006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termic de sudura de 1-14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AcA25A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мм)Capat Flansa  d=75/65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2875 274110150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Capat Flansa  d=75/65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3110320003006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termic de sudura de 1-14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AcB01A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мм)Vana din fonta d=65 mm PN=16</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13,0000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7,1500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2 874117300000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Armaturi cu actionarea manuala sau mecanica Vana din fonta d=65 mm PN=16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13,5200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AcB01A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мм)Clapeta de sens cu prindere intre flanse PN40 d=65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0,5500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2 87411730000 0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Clapeta de sens cu prindere intre flanse PN40 d=65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AcA53C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 xml:space="preserve">Montarea fitingurilor prin electrofuziune. Imbinarea prin sudura de tip electrofuziune intre teava si fiting (mufe, teu, cot) din polietilena, tevii avind diametrul de 110 mm. Nota: tipul fitingului din polietilena (mufe, teu, cot)  se va include conform proiectului (Монтаж и электрофузионная сварка фитингов (муфты, тройники, отводы) между полиэтиленовыми трубами, диаметр труб 110 мм. </w:t>
            </w:r>
            <w:r>
              <w:rPr>
                <w:rFonts w:ascii="Times New Roman" w:hAnsi="Times New Roman"/>
                <w:sz w:val="24"/>
                <w:szCs w:val="24"/>
                <w:lang w:val="ru-MD"/>
              </w:rPr>
              <w:t>Примечание: маркировка полиэтиленовых фитингов (муфты, тройники, отводы) включа</w:t>
            </w:r>
            <w:r>
              <w:rPr>
                <w:rFonts w:ascii="Times New Roman" w:hAnsi="Times New Roman"/>
                <w:sz w:val="24"/>
                <w:szCs w:val="24"/>
                <w:lang w:val="en-US"/>
              </w:rPr>
              <w:t>e</w:t>
            </w:r>
            <w:r>
              <w:rPr>
                <w:rFonts w:ascii="Times New Roman" w:hAnsi="Times New Roman"/>
                <w:sz w:val="24"/>
                <w:szCs w:val="24"/>
                <w:lang w:val="ru-MD"/>
              </w:rPr>
              <w:t>тся согласно проекту)</w:t>
            </w:r>
            <w:r>
              <w:rPr>
                <w:rFonts w:ascii="Times New Roman" w:hAnsi="Times New Roman"/>
                <w:sz w:val="24"/>
                <w:szCs w:val="24"/>
                <w:lang w:val="en-US"/>
              </w:rPr>
              <w:t>Cot</w:t>
            </w:r>
            <w:r>
              <w:rPr>
                <w:rFonts w:ascii="Times New Roman" w:hAnsi="Times New Roman"/>
                <w:sz w:val="24"/>
                <w:szCs w:val="24"/>
                <w:lang w:val="ru-MD"/>
              </w:rPr>
              <w:t xml:space="preserve"> </w:t>
            </w:r>
            <w:r>
              <w:rPr>
                <w:rFonts w:ascii="Times New Roman" w:hAnsi="Times New Roman"/>
                <w:sz w:val="24"/>
                <w:szCs w:val="24"/>
                <w:lang w:val="en-US"/>
              </w:rPr>
              <w:t>PE</w:t>
            </w:r>
            <w:r>
              <w:rPr>
                <w:rFonts w:ascii="Times New Roman" w:hAnsi="Times New Roman"/>
                <w:sz w:val="24"/>
                <w:szCs w:val="24"/>
                <w:lang w:val="ru-MD"/>
              </w:rPr>
              <w:t xml:space="preserve"> 100 </w:t>
            </w:r>
            <w:r>
              <w:rPr>
                <w:rFonts w:ascii="Times New Roman" w:hAnsi="Times New Roman"/>
                <w:sz w:val="24"/>
                <w:szCs w:val="24"/>
                <w:lang w:val="en-US"/>
              </w:rPr>
              <w:t>sudura</w:t>
            </w:r>
            <w:r>
              <w:rPr>
                <w:rFonts w:ascii="Times New Roman" w:hAnsi="Times New Roman"/>
                <w:sz w:val="24"/>
                <w:szCs w:val="24"/>
                <w:lang w:val="ru-MD"/>
              </w:rPr>
              <w:t xml:space="preserve"> </w:t>
            </w:r>
            <w:r>
              <w:rPr>
                <w:rFonts w:ascii="Times New Roman" w:hAnsi="Times New Roman"/>
                <w:sz w:val="24"/>
                <w:szCs w:val="24"/>
                <w:lang w:val="en-US"/>
              </w:rPr>
              <w:t>d</w:t>
            </w:r>
            <w:r>
              <w:rPr>
                <w:rFonts w:ascii="Times New Roman" w:hAnsi="Times New Roman"/>
                <w:sz w:val="24"/>
                <w:szCs w:val="24"/>
                <w:lang w:val="ru-MD"/>
              </w:rPr>
              <w:t xml:space="preserve">=75 </w:t>
            </w:r>
            <w:r>
              <w:rPr>
                <w:rFonts w:ascii="Times New Roman" w:hAnsi="Times New Roman"/>
                <w:sz w:val="24"/>
                <w:szCs w:val="24"/>
                <w:lang w:val="en-US"/>
              </w:rPr>
              <w:t>mm</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7212030022700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Sudor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25  23156713 8 11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Cot PE 100 sudura d=75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2940600003015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Aparat de sudura PE metoda electrofuziune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3110320012304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electrogen mobil de 39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IzD10A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0,0200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7141020013400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Vopsitor industrial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0,1288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2430116100000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Email clorcauciuc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2430226100814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Grund miniu de plumb G 355-6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2430226109420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Diluant pt.lacuri anticorozive   D.006-1 NI 1708-61 A1</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0,0110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2320166200676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White spirit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1711317306661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Bumbac de sters</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0,0195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AcA10B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0,3000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0,0498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2521216701001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Teava din polietilena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0,3091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2010102901170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Bile, manele D=15-18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0,0011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2952270007602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Tirfor 1,5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2940420002422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Masina de sudura PE cu toate accesoriile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0,0038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AcA52B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Teava din polietilena, pentru conducte de alimentare cu apa montata in sant, cu diametrul de 75 mm. Nota: tipul tevii polietilena si banzii de avertizare se va include conform proiectului (Прокладка в траншее полиэтиленовых труб для сетей водопровода, диаметром 75 мм. Примечание: маркировка полиэтиленовой трубы и сигнальной ленты включаeтся согласно проекту)PE100 SDR 17 PN10</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39,0000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7136080025000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Montator conducte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2,8080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1,4040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2 5212167100011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Teava polietilena PE100 SDR 17 PN10 d=75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39,1170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3410440005604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Tractor pe pneuri U 650 de 48 kw (65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pentru intindere teava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 xml:space="preserve">Conducta de presiune cu clapeta de retinere d=65 mm </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2.2.  conducta de golire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AcA04A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 l</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39,0000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19,5000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252121670100 0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Teava din otel d=76x4,0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41,3595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2411115904512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Oxigen tehnic gazos S2031</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3,6855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2413547308164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Carbura de calciu tehnica (carbid) S102</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8,1900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Electrod  S 1125/2 E 51.5A1 1 dxl  5 x 450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5,3235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2320322600282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Bitum pentru protectie conducte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2,8665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2320322600374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Citom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0,8190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2112307324986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Hirtie, sulfit tip I, ptr. izolare conducta 80-100 gr/mp-sul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0,8190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2320156200951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Motorina motor DIESEL-ld</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5,7330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3110500003004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Convertizor de sudura de 14  kw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2,3400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2952270003306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Electropompa de apa 4-6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AcA10B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0,3000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0,0498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2521216701001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Teava din polietilena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0,3091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2010102901170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Bile, manele D=15-18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0,0011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2952270007602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Tirfor 1,5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2940420002422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Masina de sudura PE cu toate accesoriile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0,0038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 xml:space="preserve"> conducta de golire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Asigurari sociale si medicale (VR) * 24 %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transport (VR) * 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depozit (VR) * 2 %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regie (VR+Asigur+Cheltu+Cheltu) * 14,5 %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14,5 %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Beneficiu de deviz (VR+Asigur+Cheltu+Cheltu+Cheltu) * 6 %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6 %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Montarea retelelor interioare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rHeight w:val="20" w:hRule="exact"/>
        </w:trPr>
        <w:tc>
          <w:tcPr>
            <w:tcW w:w="674" w:type="dxa"/>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134"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011"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215"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rHeight w:val="20" w:hRule="atLeast"/>
        </w:trPr>
        <w:tc>
          <w:tcPr>
            <w:tcW w:w="674" w:type="dxa"/>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134"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011" w:type="dxa"/>
            <w:gridSpan w:val="3"/>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15"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Total  </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top w:val="single" w:sz="4"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6"/>
                <w:szCs w:val="6"/>
                <w:lang w:val="en-US"/>
              </w:rPr>
            </w:pPr>
            <w:r>
              <w:rPr>
                <w:rFonts w:ascii="Times New Roman" w:hAnsi="Times New Roman"/>
                <w:sz w:val="6"/>
                <w:szCs w:val="6"/>
                <w:lang w:val="en-US"/>
              </w:rPr>
            </w:r>
          </w:p>
        </w:tc>
      </w:tr>
      <w:tr>
        <w:trPr>
          <w:trHeight w:val="318" w:hRule="atLeast"/>
        </w:trPr>
        <w:tc>
          <w:tcPr>
            <w:tcW w:w="709"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2599" w:type="dxa"/>
            <w:tcBorders>
              <w:left w:val="single" w:sz="6" w:space="0" w:color="000000"/>
              <w:bottom w:val="single" w:sz="6" w:space="0" w:color="000000"/>
            </w:tcBorders>
            <w:tcMar>
              <w:left w:w="107" w:type="dxa"/>
              <w:right w:w="107" w:type="dxa"/>
            </w:tcMar>
            <w:vAlign w:val="bottom"/>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Total deviz:</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1451" w:type="dxa"/>
            <w:gridSpan w:val="3"/>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bl>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5954" w:type="dxa"/>
        <w:jc w:val="left"/>
        <w:tblInd w:w="1951" w:type="dxa"/>
        <w:tblLayout w:type="fixed"/>
        <w:tblCellMar>
          <w:top w:w="0" w:type="dxa"/>
          <w:left w:w="108" w:type="dxa"/>
          <w:bottom w:w="0" w:type="dxa"/>
          <w:right w:w="108" w:type="dxa"/>
        </w:tblCellMar>
      </w:tblPr>
      <w:tblGrid>
        <w:gridCol w:w="1548"/>
        <w:gridCol w:w="4405"/>
      </w:tblGrid>
      <w:tr>
        <w:trPr/>
        <w:tc>
          <w:tcPr>
            <w:tcW w:w="1548" w:type="dxa"/>
            <w:tcBorders/>
          </w:tcPr>
          <w:p>
            <w:pPr>
              <w:pStyle w:val="Normal"/>
              <w:tabs>
                <w:tab w:val="clear" w:pos="720"/>
              </w:tabs>
              <w:bidi w:val="0"/>
              <w:spacing w:lineRule="auto" w:line="276"/>
              <w:ind w:hanging="0" w:left="0" w:right="0"/>
              <w:rPr>
                <w:lang w:val="ro-RO"/>
              </w:rPr>
            </w:pPr>
            <w:r>
              <w:rPr>
                <w:rFonts w:ascii="Times New Roman" w:hAnsi="Times New Roman"/>
                <w:sz w:val="24"/>
                <w:szCs w:val="24"/>
                <w:lang w:val="ro-RO"/>
              </w:rPr>
              <w:t>Intocmit</w:t>
            </w:r>
            <w:r>
              <w:rPr>
                <w:rFonts w:ascii="Times New Roman" w:hAnsi="Times New Roman"/>
                <w:sz w:val="24"/>
                <w:szCs w:val="24"/>
                <w:lang w:val="en-US"/>
              </w:rPr>
              <w:t xml:space="preserve"> </w:t>
            </w:r>
          </w:p>
        </w:tc>
        <w:tc>
          <w:tcPr>
            <w:tcW w:w="4405" w:type="dxa"/>
            <w:tcBorders>
              <w:bottom w:val="single" w:sz="6" w:space="0" w:color="000000"/>
            </w:tcBorders>
          </w:tcPr>
          <w:p>
            <w:pPr>
              <w:pStyle w:val="Normal"/>
              <w:tabs>
                <w:tab w:val="clear" w:pos="720"/>
              </w:tabs>
              <w:bidi w:val="0"/>
              <w:spacing w:lineRule="auto" w:line="276"/>
              <w:ind w:hanging="0" w:left="0" w:right="176"/>
              <w:jc w:val="center"/>
              <w:rPr>
                <w:lang w:val="en-US"/>
              </w:rPr>
            </w:pPr>
            <w:r>
              <w:rPr>
                <w:rFonts w:ascii="Times New Roman" w:hAnsi="Times New Roman"/>
                <w:sz w:val="24"/>
                <w:szCs w:val="24"/>
                <w:lang w:val="en-US"/>
              </w:rPr>
              <w:t>Mocanu V</w:t>
            </w:r>
          </w:p>
        </w:tc>
      </w:tr>
      <w:tr>
        <w:trPr>
          <w:trHeight w:val="355" w:hRule="atLeast"/>
        </w:trPr>
        <w:tc>
          <w:tcPr>
            <w:tcW w:w="5953" w:type="dxa"/>
            <w:gridSpan w:val="2"/>
            <w:tcBorders/>
          </w:tcPr>
          <w:p>
            <w:pPr>
              <w:pStyle w:val="Normal"/>
              <w:tabs>
                <w:tab w:val="clear" w:pos="720"/>
              </w:tabs>
              <w:bidi w:val="0"/>
              <w:spacing w:lineRule="auto" w:line="276"/>
              <w:ind w:hanging="0" w:left="0" w:right="0"/>
              <w:jc w:val="center"/>
              <w:rPr>
                <w:lang w:val="en-US"/>
              </w:rPr>
            </w:pPr>
            <w:r>
              <w:rPr>
                <w:rFonts w:ascii="Times New Roman" w:hAnsi="Times New Roman"/>
                <w:sz w:val="16"/>
                <w:szCs w:val="16"/>
                <w:lang w:val="en-US"/>
              </w:rPr>
              <w:t xml:space="preserve">                                       </w:t>
            </w: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 xml:space="preserve">semnătura, numele, prenumele </w:t>
            </w:r>
            <w:r>
              <w:rPr>
                <w:rFonts w:ascii="Times New Roman" w:hAnsi="Times New Roman"/>
                <w:sz w:val="16"/>
                <w:szCs w:val="16"/>
                <w:lang w:val="en-US"/>
              </w:rPr>
              <w:t>)</w:t>
            </w:r>
          </w:p>
        </w:tc>
      </w:tr>
      <w:tr>
        <w:trPr/>
        <w:tc>
          <w:tcPr>
            <w:tcW w:w="1548" w:type="dxa"/>
            <w:tcBorders/>
          </w:tcPr>
          <w:p>
            <w:pPr>
              <w:pStyle w:val="Normal"/>
              <w:tabs>
                <w:tab w:val="clear" w:pos="720"/>
              </w:tabs>
              <w:bidi w:val="0"/>
              <w:spacing w:lineRule="auto" w:line="276"/>
              <w:ind w:hanging="0" w:left="0" w:right="0"/>
              <w:rPr>
                <w:lang w:val="ro-RO"/>
              </w:rPr>
            </w:pPr>
            <w:r>
              <w:rPr>
                <w:rFonts w:ascii="Times New Roman" w:hAnsi="Times New Roman"/>
                <w:sz w:val="24"/>
                <w:szCs w:val="24"/>
                <w:lang w:val="ro-RO"/>
              </w:rPr>
              <w:t>Verificat</w:t>
            </w:r>
          </w:p>
        </w:tc>
        <w:tc>
          <w:tcPr>
            <w:tcW w:w="4405" w:type="dxa"/>
            <w:tcBorders>
              <w:bottom w:val="single" w:sz="6" w:space="0" w:color="000000"/>
            </w:tcBorders>
          </w:tcPr>
          <w:p>
            <w:pPr>
              <w:pStyle w:val="Normal"/>
              <w:tabs>
                <w:tab w:val="clear" w:pos="720"/>
              </w:tabs>
              <w:bidi w:val="0"/>
              <w:spacing w:lineRule="auto" w:line="276"/>
              <w:ind w:hanging="0" w:left="0" w:right="176"/>
              <w:jc w:val="center"/>
              <w:rPr>
                <w:rFonts w:ascii="Liberation Serif" w:hAnsi="Liberation Serif"/>
                <w:sz w:val="24"/>
                <w:szCs w:val="24"/>
                <w:lang w:val="en-US"/>
              </w:rPr>
            </w:pPr>
            <w:r>
              <w:rPr>
                <w:rFonts w:ascii="Times New Roman" w:hAnsi="Times New Roman"/>
                <w:sz w:val="24"/>
                <w:szCs w:val="24"/>
                <w:lang w:val="en-US"/>
              </w:rPr>
            </w:r>
          </w:p>
        </w:tc>
      </w:tr>
      <w:tr>
        <w:trPr/>
        <w:tc>
          <w:tcPr>
            <w:tcW w:w="5953" w:type="dxa"/>
            <w:gridSpan w:val="2"/>
            <w:tcBorders/>
          </w:tcPr>
          <w:p>
            <w:pPr>
              <w:pStyle w:val="Normal"/>
              <w:tabs>
                <w:tab w:val="clear" w:pos="720"/>
              </w:tabs>
              <w:bidi w:val="0"/>
              <w:spacing w:lineRule="auto" w:line="276"/>
              <w:ind w:hanging="0" w:left="0" w:right="0"/>
              <w:jc w:val="center"/>
              <w:rPr>
                <w:lang w:val="en-US"/>
              </w:rPr>
            </w:pPr>
            <w:r>
              <w:rPr>
                <w:rFonts w:ascii="Times New Roman" w:hAnsi="Times New Roman"/>
                <w:sz w:val="16"/>
                <w:szCs w:val="16"/>
                <w:lang w:val="en-US"/>
              </w:rPr>
              <w:t xml:space="preserve">                                      </w:t>
            </w: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w:t>
            </w:r>
          </w:p>
        </w:tc>
      </w:tr>
    </w:tbl>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sectPr>
      <w:type w:val="nextPage"/>
      <w:pgSz w:w="11906" w:h="16838"/>
      <w:pgMar w:left="1418" w:right="454" w:gutter="0" w:header="0" w:top="851" w:footer="0" w:bottom="85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auto"/>
    <w:pitch w:val="variable"/>
  </w:font>
  <w:font w:name="Liberation Sans">
    <w:altName w:val="Arial"/>
    <w:charset w:val="00"/>
    <w:family w:val="swiss"/>
    <w:pitch w:val="variable"/>
  </w:font>
  <w:font w:name="Times New Roman">
    <w:charset w:val="00"/>
    <w:family w:val="auto"/>
    <w:pitch w:val="variable"/>
  </w:font>
  <w:font w:name="Liberation Serif">
    <w:altName w:val="Times New Roman"/>
    <w:charset w:val="00"/>
    <w:family w:val="auto"/>
    <w:pitch w:val="variable"/>
  </w:font>
  <w:font w:name="Arial CYR">
    <w:charset w:val="00"/>
    <w:family w:val="auto"/>
    <w:pitch w:val="variable"/>
  </w:font>
</w:fonts>
</file>

<file path=word/settings.xml><?xml version="1.0" encoding="utf-8"?>
<w:settings xmlns:w="http://schemas.openxmlformats.org/wordprocessingml/2006/main">
  <w:zoom w:percent="10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jc w:val="left"/>
      <w:textAlignment w:val="auto"/>
    </w:pPr>
    <w:rPr>
      <w:rFonts w:ascii="Times New Roman" w:hAnsi="Times New Roman" w:eastAsia="Cambria Math"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CorptextCaracter">
    <w:name w:val="Corp text Caracter"/>
    <w:basedOn w:val="DefaultParagraphFont"/>
    <w:qFormat/>
    <w:rPr/>
  </w:style>
  <w:style w:type="character" w:styleId="Corptext2Caracter">
    <w:name w:val="Corp text 2 Caracter"/>
    <w:basedOn w:val="DefaultParagraphFont"/>
    <w:qFormat/>
    <w:rPr/>
  </w:style>
  <w:style w:type="character" w:styleId="AntetCaracter">
    <w:name w:val="Antet Caracter"/>
    <w:basedOn w:val="DefaultParagraphFont"/>
    <w:qFormat/>
    <w:rPr>
      <w:rFonts w:ascii="Arial" w:hAnsi="Arial" w:cs="Arial"/>
      <w:lang w:val="en-US" w:eastAsia="ar-SA"/>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widowControl/>
      <w:jc w:val="center"/>
      <w:textAlignment w:val="auto"/>
    </w:pPr>
    <w:rPr>
      <w:rFonts w:cs="Times New Roman"/>
      <w:sz w:val="24"/>
      <w:szCs w:val="24"/>
      <w:lang w:val="ru-RU" w:eastAsia="ru-RU" w:bidi="ar-SA"/>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Table">
    <w:name w:val="Normal Table"/>
    <w:qFormat/>
    <w:pPr>
      <w:widowControl/>
      <w:bidi w:val="0"/>
      <w:spacing w:lineRule="auto" w:line="276" w:before="0" w:after="160"/>
      <w:jc w:val="left"/>
      <w:textAlignment w:val="auto"/>
    </w:pPr>
    <w:rPr>
      <w:rFonts w:ascii="Times New Roman" w:hAnsi="Times New Roman" w:eastAsia="Cambria Math" w:cs="Times New Roman"/>
      <w:color w:val="auto"/>
      <w:kern w:val="2"/>
      <w:sz w:val="24"/>
      <w:szCs w:val="24"/>
      <w:lang w:val="ru-MD" w:eastAsia="ru-MD" w:bidi="ar-SA"/>
    </w:rPr>
  </w:style>
  <w:style w:type="paragraph" w:styleId="BodyText2">
    <w:name w:val="Body Text 2"/>
    <w:basedOn w:val="Normal"/>
    <w:qFormat/>
    <w:pPr>
      <w:widowControl/>
      <w:jc w:val="center"/>
      <w:textAlignment w:val="auto"/>
    </w:pPr>
    <w:rPr>
      <w:rFonts w:cs="Times New Roman"/>
      <w:sz w:val="22"/>
      <w:szCs w:val="22"/>
      <w:lang w:val="ru-RU" w:eastAsia="ru-RU" w:bidi="ar-SA"/>
    </w:rPr>
  </w:style>
  <w:style w:type="paragraph" w:styleId="HeaderandFooter">
    <w:name w:val="Header and Footer"/>
    <w:basedOn w:val="Normal"/>
    <w:qFormat/>
    <w:pPr/>
    <w:rPr/>
  </w:style>
  <w:style w:type="paragraph" w:styleId="Header">
    <w:name w:val="header"/>
    <w:basedOn w:val="Normal"/>
    <w:pPr>
      <w:widowControl/>
      <w:tabs>
        <w:tab w:val="clear" w:pos="720"/>
        <w:tab w:val="center" w:pos="4677" w:leader="none"/>
        <w:tab w:val="right" w:pos="9355" w:leader="none"/>
      </w:tabs>
      <w:suppressAutoHyphens w:val="true"/>
      <w:jc w:val="left"/>
      <w:textAlignment w:val="auto"/>
    </w:pPr>
    <w:rPr>
      <w:rFonts w:ascii="Arial" w:hAnsi="Arial" w:cs="Arial"/>
      <w:sz w:val="20"/>
      <w:szCs w:val="20"/>
      <w:lang w:val="ru-RU" w:eastAsia="ar-SA"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ages>99</Pages>
  <Words>2832</Words>
  <Characters>18940</Characters>
  <CharactersWithSpaces>16145</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2026-06-25T08:18:00Z</dcterms:created>
  <dc:creator>Valeriu</dc:creator>
  <dc:description/>
  <dc:language>en-US</dc:language>
  <cp:lastModifiedBy/>
  <dcterms:modified xsi:type="dcterms:W3CDTF">2026-06-25T08:28:00Z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Valeriu</vt:lpwstr>
  </property>
</Properties>
</file>