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9A39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 w14:paraId="1189EE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 w14:paraId="6130E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 w14:paraId="32DB09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 w14:paraId="31CF7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 w14:paraId="5563D6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>Gazoanalizator</w:t>
            </w:r>
          </w:p>
        </w:tc>
      </w:tr>
    </w:tbl>
    <w:p w14:paraId="77AF418C"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294"/>
        <w:gridCol w:w="3099"/>
        <w:gridCol w:w="1387"/>
      </w:tblGrid>
      <w:tr w14:paraId="469D7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 w14:paraId="133198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 w14:paraId="0BFC2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 w14:paraId="6E0434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 w14:paraId="52C281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 w14:paraId="2BC71D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294" w:type="dxa"/>
            <w:shd w:val="clear" w:color="auto" w:fill="BEBEBE" w:themeFill="background1" w:themeFillShade="BF"/>
            <w:vAlign w:val="center"/>
          </w:tcPr>
          <w:p w14:paraId="05F78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99" w:type="dxa"/>
            <w:shd w:val="clear" w:color="auto" w:fill="BEBEBE" w:themeFill="background1" w:themeFillShade="BF"/>
            <w:vAlign w:val="center"/>
          </w:tcPr>
          <w:p w14:paraId="7629A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 w14:paraId="2B8AB8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14:paraId="7DF07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 w14:paraId="3EAFA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 w14:paraId="17F17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 w14:paraId="3AC9E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 w14:paraId="0B2A7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 w14:paraId="301A9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94" w:type="dxa"/>
            <w:shd w:val="clear" w:color="auto" w:fill="BEBEBE" w:themeFill="background1" w:themeFillShade="BF"/>
            <w:vAlign w:val="center"/>
          </w:tcPr>
          <w:p w14:paraId="511EE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99" w:type="dxa"/>
            <w:shd w:val="clear" w:color="auto" w:fill="BEBEBE" w:themeFill="background1" w:themeFillShade="BF"/>
            <w:vAlign w:val="center"/>
          </w:tcPr>
          <w:p w14:paraId="545779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 w14:paraId="1AEFE7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 w14:paraId="27322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 w14:paraId="7581AFC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 w14:paraId="37E5E50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Explozimetru-analizor de gaze portabil</w:t>
            </w:r>
          </w:p>
        </w:tc>
        <w:tc>
          <w:tcPr>
            <w:tcW w:w="1828" w:type="dxa"/>
            <w:vAlign w:val="center"/>
          </w:tcPr>
          <w:p w14:paraId="34107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 w14:paraId="44335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 w14:paraId="5D4068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94" w:type="dxa"/>
            <w:vAlign w:val="top"/>
          </w:tcPr>
          <w:p w14:paraId="0E83ADCD">
            <w:pPr>
              <w:pStyle w:val="4"/>
              <w:widowControl w:val="0"/>
              <w:spacing w:line="240" w:lineRule="auto"/>
              <w:ind w:right="0" w:rightChars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 xml:space="preserve">Necesar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pentru utilizare mobilă la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 xml:space="preserve">executarea în siguranță a lucrărilor cu pericol de deflagrație sau intoxicare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în instalații subterane și spații închise (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fântâni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, puncte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termice centrale și individuale,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cămine termic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e, recipiente. </w:t>
            </w:r>
          </w:p>
          <w:p w14:paraId="75CC6BF9">
            <w:pPr>
              <w:pStyle w:val="4"/>
              <w:widowControl w:val="0"/>
              <w:spacing w:line="240" w:lineRule="auto"/>
              <w:ind w:right="0" w:rightChars="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Destinat pentru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controlul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concentraților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periculoase ale gazelor și aerosolurilor combustibile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, explozibile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și/sau toxice separat sau cumulativ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în aer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cu emiterea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rapidă (în maxim 20 sec.) a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semnalului privind depășirea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valorilor-limită admisibile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</w:t>
            </w:r>
          </w:p>
          <w:p w14:paraId="0412271A">
            <w:pPr>
              <w:pStyle w:val="4"/>
              <w:widowControl w:val="0"/>
              <w:spacing w:line="240" w:lineRule="auto"/>
              <w:ind w:right="0" w:rightChars="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</w:pP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Identifică și semnalizează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simultan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prezența în spațiile subterane a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4-6 gaze toxice (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acetilenă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C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2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H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2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monoxid de carbon CO,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hidrogen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sulfuros H2S) și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combustibile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/explozibile (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metan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CH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4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propan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C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3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H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8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, butan C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4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H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bscript"/>
              </w:rPr>
              <w:t>10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)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Gamă largă de indicații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: 00,0 - 99,9 %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concentrație-limită.</w:t>
            </w:r>
          </w:p>
          <w:p w14:paraId="46F1A219"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xecuție antideflagrantă, indică în cifre valorile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concentrației gazelor. Testare în regim automat,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deservire tehnică minimă și facilitate în exploatare.</w:t>
            </w:r>
          </w:p>
          <w:p w14:paraId="0B94C45A"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Caracteristici metrologice înalte, posibilitate de control cu detectorul la distanță, acces securizat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la parametrii de setare și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valorile stării de urgență.</w:t>
            </w:r>
          </w:p>
          <w:p w14:paraId="1AF64D02"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Semnalizator individual portabil cu funcționare continuă cu 2 praguri de semnalizare: sonoră și luminoasă, precum și cu 2 regimuri de lucru: semnalizator și explozimetru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.</w:t>
            </w:r>
          </w:p>
          <w:p w14:paraId="5D74FA53"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Detector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pe suport elastic cu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lungimea min. 2,0 m. Greutate maximă totală 0,4 kg.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Dimensiuni maxime: 200x100x50mm.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T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emperaturi de lucru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-40...+55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vertAlign w:val="superscript"/>
                <w:lang w:val="ro-RO"/>
              </w:rPr>
              <w:t>0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C. Durata de exploatare 10 ani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.</w:t>
            </w:r>
          </w:p>
          <w:p w14:paraId="1C5AF245">
            <w:pPr>
              <w:widowControl w:val="0"/>
              <w:spacing w:after="0" w:line="23" w:lineRule="atLeast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În set: cameră de verificare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tijă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>cheie, duză pentru prelevarea probelor din locuri greu accesibile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încărcător tensiune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5F5F5"/>
              </w:rPr>
              <w:t>220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5F5F5"/>
                <w:lang w:val="ro-RO"/>
              </w:rPr>
              <w:t>V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5F5F5"/>
              </w:rPr>
              <w:t xml:space="preserve">, 50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5F5F5"/>
                <w:lang w:val="ro-RO"/>
              </w:rPr>
              <w:t>Hz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.</w:t>
            </w:r>
          </w:p>
        </w:tc>
        <w:tc>
          <w:tcPr>
            <w:tcW w:w="3099" w:type="dxa"/>
            <w:vAlign w:val="center"/>
          </w:tcPr>
          <w:p w14:paraId="5F991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 w14:paraId="1B1AE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 w14:paraId="2804E141">
      <w:pPr>
        <w:rPr>
          <w:rFonts w:hint="default" w:ascii="Times New Roman" w:hAnsi="Times New Roman" w:cs="Times New Roman"/>
        </w:rPr>
      </w:pPr>
    </w:p>
    <w:p w14:paraId="52F6C0DD"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 w14:paraId="00609FCB"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 w14:paraId="3F0D37E1"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 w14:paraId="2840B8D2">
      <w:pPr>
        <w:rPr>
          <w:rFonts w:hint="default" w:ascii="Times New Roman" w:hAnsi="Times New Roman" w:cs="Times New Roman"/>
        </w:rPr>
      </w:pPr>
    </w:p>
    <w:p w14:paraId="0A8A8E4C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 w14:paraId="2C8CBB6F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 w14:paraId="5FDF67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 w14:paraId="59D479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7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 w14:paraId="10E39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 w14:paraId="33EB23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 w14:paraId="3C784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 w14:paraId="1035C4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>Gazoanalizator</w:t>
            </w:r>
          </w:p>
        </w:tc>
      </w:tr>
    </w:tbl>
    <w:p w14:paraId="776FF762">
      <w:pPr>
        <w:rPr>
          <w:rFonts w:hint="default" w:ascii="Times New Roman" w:hAnsi="Times New Roman" w:cs="Times New Roman"/>
        </w:rPr>
      </w:pPr>
    </w:p>
    <w:tbl>
      <w:tblPr>
        <w:tblStyle w:val="7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6"/>
        <w:gridCol w:w="2420"/>
        <w:gridCol w:w="1137"/>
        <w:gridCol w:w="1000"/>
        <w:gridCol w:w="1238"/>
        <w:gridCol w:w="1237"/>
        <w:gridCol w:w="1300"/>
        <w:gridCol w:w="1188"/>
        <w:gridCol w:w="2732"/>
        <w:gridCol w:w="1200"/>
        <w:gridCol w:w="1042"/>
      </w:tblGrid>
      <w:tr w14:paraId="7973D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 w14:paraId="3E6205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Nr. lot</w:t>
            </w:r>
          </w:p>
        </w:tc>
        <w:tc>
          <w:tcPr>
            <w:tcW w:w="676" w:type="dxa"/>
            <w:shd w:val="clear" w:color="auto" w:fill="BEBEBE" w:themeFill="background1" w:themeFillShade="BF"/>
            <w:vAlign w:val="center"/>
          </w:tcPr>
          <w:p w14:paraId="042C9B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Cod CPV</w:t>
            </w:r>
          </w:p>
        </w:tc>
        <w:tc>
          <w:tcPr>
            <w:tcW w:w="2420" w:type="dxa"/>
            <w:shd w:val="clear" w:color="auto" w:fill="BEBEBE" w:themeFill="background1" w:themeFillShade="BF"/>
            <w:vAlign w:val="center"/>
          </w:tcPr>
          <w:p w14:paraId="1C086E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Denumirea bunurilor/serviciilor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 w14:paraId="39897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 w14:paraId="58F7AB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Canti-</w:t>
            </w:r>
          </w:p>
          <w:p w14:paraId="5D5E3C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 w14:paraId="26E329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 w14:paraId="746B2D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 w14:paraId="20C800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 w14:paraId="4E724C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fără TVA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 w14:paraId="1EF7F1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Suma</w:t>
            </w:r>
          </w:p>
          <w:p w14:paraId="323B81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cu TVA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 w14:paraId="792549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Termenul de</w:t>
            </w:r>
          </w:p>
          <w:p w14:paraId="1DA9BE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 w14:paraId="3E5530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 w14:paraId="1CBDAA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Discount</w:t>
            </w:r>
          </w:p>
          <w:p w14:paraId="50F97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u w:val="none"/>
              </w:rPr>
              <w:t>%</w:t>
            </w:r>
          </w:p>
        </w:tc>
      </w:tr>
      <w:tr w14:paraId="196C8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 w14:paraId="51A98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0</w:t>
            </w:r>
          </w:p>
        </w:tc>
        <w:tc>
          <w:tcPr>
            <w:tcW w:w="676" w:type="dxa"/>
            <w:shd w:val="clear" w:color="auto" w:fill="BEBEBE" w:themeFill="background1" w:themeFillShade="BF"/>
            <w:vAlign w:val="center"/>
          </w:tcPr>
          <w:p w14:paraId="73C741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</w:t>
            </w:r>
          </w:p>
        </w:tc>
        <w:tc>
          <w:tcPr>
            <w:tcW w:w="2420" w:type="dxa"/>
            <w:shd w:val="clear" w:color="auto" w:fill="BEBEBE" w:themeFill="background1" w:themeFillShade="BF"/>
            <w:vAlign w:val="center"/>
          </w:tcPr>
          <w:p w14:paraId="2D2C59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2</w:t>
            </w:r>
          </w:p>
        </w:tc>
        <w:tc>
          <w:tcPr>
            <w:tcW w:w="1137" w:type="dxa"/>
            <w:shd w:val="clear" w:color="auto" w:fill="BEBEBE" w:themeFill="background1" w:themeFillShade="BF"/>
            <w:vAlign w:val="center"/>
          </w:tcPr>
          <w:p w14:paraId="2053C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 w14:paraId="086FF8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 w14:paraId="478D6B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 w14:paraId="1F0E20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 w14:paraId="03E5ED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7</w:t>
            </w:r>
          </w:p>
        </w:tc>
        <w:tc>
          <w:tcPr>
            <w:tcW w:w="1188" w:type="dxa"/>
            <w:shd w:val="clear" w:color="auto" w:fill="BEBEBE" w:themeFill="background1" w:themeFillShade="BF"/>
            <w:vAlign w:val="center"/>
          </w:tcPr>
          <w:p w14:paraId="7B3C8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8</w:t>
            </w:r>
          </w:p>
        </w:tc>
        <w:tc>
          <w:tcPr>
            <w:tcW w:w="2732" w:type="dxa"/>
            <w:shd w:val="clear" w:color="auto" w:fill="BEBEBE" w:themeFill="background1" w:themeFillShade="BF"/>
            <w:vAlign w:val="center"/>
          </w:tcPr>
          <w:p w14:paraId="6DF853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 w14:paraId="62EF01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 w14:paraId="04105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11</w:t>
            </w:r>
          </w:p>
        </w:tc>
      </w:tr>
      <w:tr w14:paraId="78C50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4" w:hRule="atLeast"/>
        </w:trPr>
        <w:tc>
          <w:tcPr>
            <w:tcW w:w="532" w:type="dxa"/>
            <w:vAlign w:val="center"/>
          </w:tcPr>
          <w:p w14:paraId="79F84616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676" w:type="dxa"/>
            <w:textDirection w:val="btLr"/>
            <w:vAlign w:val="center"/>
          </w:tcPr>
          <w:p w14:paraId="0C9976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38545000-7</w:t>
            </w:r>
          </w:p>
        </w:tc>
        <w:tc>
          <w:tcPr>
            <w:tcW w:w="2420" w:type="dxa"/>
            <w:vAlign w:val="center"/>
          </w:tcPr>
          <w:p w14:paraId="7CD6829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Explozimetru-analizor de gaze portabil</w:t>
            </w:r>
          </w:p>
        </w:tc>
        <w:tc>
          <w:tcPr>
            <w:tcW w:w="1137" w:type="dxa"/>
            <w:vAlign w:val="center"/>
          </w:tcPr>
          <w:p w14:paraId="61B06E9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vertAlign w:val="baseli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set</w:t>
            </w:r>
          </w:p>
        </w:tc>
        <w:tc>
          <w:tcPr>
            <w:tcW w:w="1000" w:type="dxa"/>
            <w:vAlign w:val="center"/>
          </w:tcPr>
          <w:p w14:paraId="4DF66FEC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bottom"/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38" w:type="dxa"/>
            <w:vAlign w:val="center"/>
          </w:tcPr>
          <w:p w14:paraId="2CE47F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10BC2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47D0EB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 w14:paraId="3903D0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69117F7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 xml:space="preserve">Livrarea se va efectua din contul și cu transportul operatorului economic la depozitul entității contractante [or. Bălți, str. Ștefan cel Mare, 168]. Bunurile se vor livra integral, după semnarea contractului, în termen de până la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single"/>
                <w:lang w:eastAsia="zh-CN"/>
              </w:rPr>
              <w:t>30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single"/>
                <w:lang w:val="en-US" w:eastAsia="zh-CN"/>
              </w:rPr>
              <w:t xml:space="preserve"> (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single"/>
                <w:lang w:eastAsia="zh-CN"/>
              </w:rPr>
              <w:t>treizeci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single"/>
                <w:lang w:val="en-US" w:eastAsia="zh-CN"/>
              </w:rPr>
              <w:t>) zile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single"/>
                <w:lang w:eastAsia="zh-CN"/>
              </w:rPr>
              <w:t xml:space="preserve"> calendaristice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  <w:t>.</w:t>
            </w:r>
          </w:p>
        </w:tc>
        <w:tc>
          <w:tcPr>
            <w:tcW w:w="1200" w:type="dxa"/>
            <w:textDirection w:val="btLr"/>
            <w:vAlign w:val="center"/>
          </w:tcPr>
          <w:p w14:paraId="39B71B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 w14:paraId="1D541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 w14:paraId="40AFE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532" w:type="dxa"/>
            <w:vAlign w:val="center"/>
          </w:tcPr>
          <w:p w14:paraId="22DA6E3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676" w:type="dxa"/>
            <w:textDirection w:val="btLr"/>
            <w:vAlign w:val="center"/>
          </w:tcPr>
          <w:p w14:paraId="73C58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420" w:type="dxa"/>
            <w:vAlign w:val="center"/>
          </w:tcPr>
          <w:p w14:paraId="54014217"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137" w:type="dxa"/>
            <w:vAlign w:val="center"/>
          </w:tcPr>
          <w:p w14:paraId="165FAFCE"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vAlign w:val="center"/>
          </w:tcPr>
          <w:p w14:paraId="3BEAE5F8"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vAlign w:val="center"/>
          </w:tcPr>
          <w:p w14:paraId="493FB4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 w14:paraId="0416CC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 w14:paraId="3F98A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88" w:type="dxa"/>
            <w:vAlign w:val="center"/>
          </w:tcPr>
          <w:p w14:paraId="2910C9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4CE2C589"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 w14:paraId="1E2F1C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 w14:paraId="27317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</w:tbl>
    <w:p w14:paraId="6FE73E36">
      <w:pPr>
        <w:spacing w:line="360" w:lineRule="auto"/>
        <w:rPr>
          <w:rFonts w:hint="default" w:ascii="Times New Roman" w:hAnsi="Times New Roman" w:cs="Times New Roman"/>
        </w:rPr>
      </w:pPr>
      <w:bookmarkStart w:id="0" w:name="_GoBack"/>
      <w:bookmarkEnd w:id="0"/>
    </w:p>
    <w:p w14:paraId="157A76D4"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 w14:paraId="551A7F07"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9A467">
    <w:pPr>
      <w:pStyle w:val="6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B0BE1A">
                          <w:pPr>
                            <w:pStyle w:val="6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B0BE1A">
                    <w:pPr>
                      <w:pStyle w:val="6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FD78A6"/>
    <w:multiLevelType w:val="singleLevel"/>
    <w:tmpl w:val="B3FD78A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2A15F0E"/>
    <w:rsid w:val="03962305"/>
    <w:rsid w:val="054B52C3"/>
    <w:rsid w:val="05687487"/>
    <w:rsid w:val="07E0084F"/>
    <w:rsid w:val="09BB20A2"/>
    <w:rsid w:val="0A1F41F1"/>
    <w:rsid w:val="0B030048"/>
    <w:rsid w:val="0C4E61BB"/>
    <w:rsid w:val="0C722C9C"/>
    <w:rsid w:val="0D7F51EF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ABF6A7E"/>
    <w:rsid w:val="1B0A44F5"/>
    <w:rsid w:val="1BF2555C"/>
    <w:rsid w:val="1C8708F3"/>
    <w:rsid w:val="1CAF2C3E"/>
    <w:rsid w:val="1D1F7306"/>
    <w:rsid w:val="1DB03E28"/>
    <w:rsid w:val="1E2A35E1"/>
    <w:rsid w:val="1E3936B0"/>
    <w:rsid w:val="1ED12D01"/>
    <w:rsid w:val="1EEC7A8C"/>
    <w:rsid w:val="1F760AC9"/>
    <w:rsid w:val="1F7C2CE0"/>
    <w:rsid w:val="20642787"/>
    <w:rsid w:val="224E40E6"/>
    <w:rsid w:val="22575BBF"/>
    <w:rsid w:val="233D0DFF"/>
    <w:rsid w:val="25917193"/>
    <w:rsid w:val="259D1413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442B4CA6"/>
    <w:rsid w:val="446A7138"/>
    <w:rsid w:val="44B47DC7"/>
    <w:rsid w:val="45B756C2"/>
    <w:rsid w:val="493C0430"/>
    <w:rsid w:val="49991CBB"/>
    <w:rsid w:val="4A3459A1"/>
    <w:rsid w:val="4B2B3590"/>
    <w:rsid w:val="4C6C31D0"/>
    <w:rsid w:val="4E1B06BB"/>
    <w:rsid w:val="4F3A4D0F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2341B3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5E3378A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4D81CD6"/>
    <w:rsid w:val="76FF686B"/>
    <w:rsid w:val="775D0E65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autoRedefine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</w:pPr>
  </w:style>
  <w:style w:type="table" w:styleId="7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2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0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table" w:customStyle="1" w:styleId="10">
    <w:name w:val="Grilă Tabel2"/>
    <w:basedOn w:val="3"/>
    <w:autoRedefine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Основной текст (2) + Не курсив"/>
    <w:basedOn w:val="12"/>
    <w:autoRedefine/>
    <w:unhideWhenUsed/>
    <w:qFormat/>
    <w:uiPriority w:val="99"/>
    <w:rPr>
      <w:rFonts w:hint="default"/>
      <w:i w:val="0"/>
      <w:sz w:val="22"/>
      <w:szCs w:val="22"/>
    </w:rPr>
  </w:style>
  <w:style w:type="character" w:customStyle="1" w:styleId="12">
    <w:name w:val="Основной текст (2)_"/>
    <w:basedOn w:val="2"/>
    <w:link w:val="13"/>
    <w:autoRedefine/>
    <w:unhideWhenUsed/>
    <w:qFormat/>
    <w:locked/>
    <w:uiPriority w:val="99"/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paragraph" w:customStyle="1" w:styleId="13">
    <w:name w:val="Основной текст (2)1"/>
    <w:link w:val="12"/>
    <w:autoRedefine/>
    <w:unhideWhenUsed/>
    <w:qFormat/>
    <w:uiPriority w:val="99"/>
    <w:pPr>
      <w:shd w:val="clear" w:color="auto" w:fill="FFFFFF"/>
      <w:spacing w:before="60" w:beforeLines="0" w:after="60" w:afterLines="0" w:line="240" w:lineRule="atLeast"/>
      <w:ind w:hanging="320"/>
    </w:pPr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character" w:customStyle="1" w:styleId="14">
    <w:name w:val="Основной текст (2) + Полужирный3"/>
    <w:basedOn w:val="12"/>
    <w:autoRedefine/>
    <w:unhideWhenUsed/>
    <w:qFormat/>
    <w:uiPriority w:val="99"/>
    <w:rPr>
      <w:rFonts w:hint="default"/>
      <w:b/>
      <w:i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2024-06-06T12:53:54Z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C1A6B79F139347F2A40048243257F5FF_13</vt:lpwstr>
  </property>
</Properties>
</file>