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>
      <w:pPr>
        <w:pStyle w:val="Normal"/>
        <w:ind w:left="0" w:right="57" w:hanging="0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ind w:left="0" w:right="57" w:firstLine="709"/>
        <w:jc w:val="righ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ind w:left="0" w:right="57" w:hanging="0"/>
        <w:jc w:val="center"/>
        <w:rPr>
          <w:lang w:val="ro-RO"/>
        </w:rPr>
      </w:pPr>
      <w:r>
        <w:rPr>
          <w:rFonts w:ascii="Times New Roman" w:hAnsi="Times New Roman"/>
          <w:b/>
          <w:bCs/>
          <w:lang w:val="ro-RO" w:eastAsia="ru-RU"/>
        </w:rPr>
        <w:t>ANUNŢ DE PARTICIPARE SIMPLIFICAT</w:t>
      </w:r>
    </w:p>
    <w:p>
      <w:pPr>
        <w:pStyle w:val="Normal"/>
        <w:ind w:left="0" w:right="57" w:hanging="0"/>
        <w:jc w:val="center"/>
        <w:rPr>
          <w:lang w:val="ro-RO"/>
        </w:rPr>
      </w:pPr>
      <w:r>
        <w:rPr>
          <w:rFonts w:ascii="Times New Roman" w:hAnsi="Times New Roman"/>
          <w:b/>
          <w:bCs/>
          <w:lang w:val="ro-RO" w:eastAsia="ru-RU"/>
        </w:rPr>
        <w:t xml:space="preserve"> </w:t>
      </w:r>
      <w:r>
        <w:rPr>
          <w:rFonts w:ascii="Times New Roman" w:hAnsi="Times New Roman"/>
          <w:b/>
          <w:bCs/>
          <w:lang w:val="ro-RO" w:eastAsia="ru-RU"/>
        </w:rPr>
        <w:t>PENTRU ACHIZIȚIA DE VALOARE MICĂ</w:t>
      </w:r>
    </w:p>
    <w:p>
      <w:pPr>
        <w:pStyle w:val="Normal"/>
        <w:ind w:left="0" w:right="57" w:hanging="0"/>
        <w:jc w:val="center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lang w:val="ro-RO" w:eastAsia="ru-RU"/>
        </w:rPr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Privind achiziţionarea </w:t>
      </w:r>
      <w:r>
        <w:rPr>
          <w:rFonts w:ascii="Times New Roman" w:hAnsi="Times New Roman"/>
          <w:b/>
          <w:bCs/>
          <w:lang w:val="ro-RO" w:eastAsia="ru-RU"/>
        </w:rPr>
        <w:t>Aparate</w:t>
      </w:r>
      <w:r>
        <w:rPr>
          <w:rFonts w:ascii="Times New Roman" w:hAnsi="Times New Roman"/>
          <w:b/>
          <w:bCs/>
          <w:color w:val="1C1C1C"/>
          <w:u w:val="none"/>
          <w:lang w:val="ro-RO" w:eastAsia="ru-RU"/>
        </w:rPr>
        <w:t xml:space="preserve"> electrocasnice pentru anul 2026</w:t>
      </w:r>
      <w:r>
        <w:rPr>
          <w:rFonts w:ascii="Times New Roman" w:hAnsi="Times New Roman"/>
          <w:color w:val="1C1C1C"/>
          <w:u w:val="none"/>
          <w:lang w:val="ro-RO" w:eastAsia="ru-RU"/>
        </w:rPr>
        <w:t xml:space="preserve"> </w:t>
      </w:r>
      <w:r>
        <w:rPr>
          <w:rFonts w:ascii="Times New Roman" w:hAnsi="Times New Roman"/>
          <w:u w:val="none"/>
          <w:lang w:val="ro-RO" w:eastAsia="ru-RU"/>
        </w:rPr>
        <w:t xml:space="preserve">   </w:t>
      </w:r>
      <w:r>
        <w:rPr>
          <w:rFonts w:ascii="Times New Roman" w:hAnsi="Times New Roman"/>
          <w:bCs/>
          <w:lang w:val="ro-RO" w:eastAsia="ru-RU"/>
        </w:rPr>
        <w:t>prin achiziţie</w:t>
      </w:r>
      <w:r>
        <w:rPr>
          <w:rFonts w:ascii="Times New Roman" w:hAnsi="Times New Roman"/>
          <w:lang w:val="ro-RO" w:eastAsia="ru-RU"/>
        </w:rPr>
        <w:t xml:space="preserve"> publică de valoare mică. 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1. Denumirea autorităţii contractante IMSP Spitalul Raional Dondușeni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2. IDNO  1003604150574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3. Adresa  or. Dondușeni, str. M. Eminescu 26/1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4. Numărul de telefon/fax  0 251 2 32 05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5. Adresa de e-mail şi pagina web oficială ale autorităţii contractante</w:t>
      </w:r>
      <w:r>
        <w:rPr>
          <w:rFonts w:ascii="Times New Roman" w:hAnsi="Times New Roman"/>
          <w:lang w:val="ro-RO" w:eastAsia="ru-RU"/>
        </w:rPr>
        <w:t xml:space="preserve"> e-mail: </w:t>
      </w:r>
      <w:hyperlink r:id="rId2">
        <w:r>
          <w:rPr>
            <w:rFonts w:ascii="Times New Roman" w:hAnsi="Times New Roman"/>
            <w:color w:val="000080"/>
            <w:u w:val="single"/>
            <w:lang w:val="ro-RO" w:eastAsia="ru-RU"/>
          </w:rPr>
          <w:t>srdonduseni@ms.md</w:t>
        </w:r>
      </w:hyperlink>
      <w:r>
        <w:rPr>
          <w:rFonts w:ascii="Times New Roman" w:hAnsi="Times New Roman"/>
          <w:lang w:val="ro-RO" w:eastAsia="ru-RU"/>
        </w:rPr>
        <w:t xml:space="preserve"> ,  srdonduseni.md 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rFonts w:ascii="Times New Roman" w:hAnsi="Times New Roman"/>
          <w:bCs/>
          <w:i/>
          <w:iCs/>
          <w:lang w:val="ro-RO" w:eastAsia="ru-RU"/>
        </w:rPr>
        <w:t>documentaţia de atribuire este anexată în cadrul procedurii în SIA RSAP.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</w:p>
    <w:p>
      <w:pPr>
        <w:pStyle w:val="Normal"/>
        <w:ind w:left="0" w:right="57" w:firstLine="709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rPr>
          <w:rFonts w:ascii="Times New Roman" w:hAnsi="Times New Roman" w:cs="0"/>
          <w:lang w:val="ro-RO" w:eastAsia="ru-RU"/>
        </w:rPr>
      </w:pPr>
      <w:r>
        <w:rPr>
          <w:rFonts w:cs="0" w:ascii="Times New Roman" w:hAnsi="Times New Roman"/>
          <w:lang w:val="ro-RO" w:eastAsia="ru-RU"/>
        </w:rPr>
      </w:r>
    </w:p>
    <w:tbl>
      <w:tblPr>
        <w:tblW w:w="10140" w:type="dxa"/>
        <w:jc w:val="left"/>
        <w:tblInd w:w="-279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488"/>
        <w:gridCol w:w="861"/>
        <w:gridCol w:w="2956"/>
        <w:gridCol w:w="674"/>
        <w:gridCol w:w="855"/>
        <w:gridCol w:w="2944"/>
        <w:gridCol w:w="1361"/>
      </w:tblGrid>
      <w:tr>
        <w:trPr/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Cod</w:t>
              <w:br/>
              <w:t>CPV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Unitatea de</w:t>
              <w:br/>
              <w:t>măs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Fier de călcat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ind w:left="0" w:right="0" w:hanging="0"/>
              <w:rPr>
                <w:lang w:val="en-US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lang w:val="en-US" w:eastAsia="en-US" w:bidi="ar-SA"/>
              </w:rPr>
              <w:t xml:space="preserve">Rezervor de apă, generator de aburi, puterea nu mai puțin de 2000 W, termoregulator, materialul tălpii- aluminiu,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ind w:left="0" w:right="0" w:hanging="0"/>
              <w:rPr>
                <w:lang w:val="en-US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lang w:val="en-US" w:eastAsia="en-US" w:bidi="ar-SA"/>
              </w:rPr>
              <w:t>garanție 24 luni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MD"/>
              </w:rPr>
              <w:t>30</w:t>
            </w:r>
            <w:r>
              <w:rPr>
                <w:rFonts w:ascii="Times New Roman" w:hAnsi="Times New Roman"/>
                <w:lang w:val="ro-RO"/>
              </w:rPr>
              <w:t>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Prelungitor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ind w:left="0" w:right="0" w:hanging="0"/>
              <w:rPr>
                <w:rFonts w:ascii="Times New Roman" w:hAnsi="Times New Roman" w:cs="Times New Roman CYR"/>
                <w:b w:val="false"/>
                <w:bCs w:val="false"/>
                <w:i w:val="false"/>
                <w:i w:val="false"/>
                <w:caps w:val="false"/>
                <w:smallCaps w:val="false"/>
                <w:color w:val="333333"/>
                <w:spacing w:val="0"/>
                <w:lang w:eastAsia="en-US" w:bidi="ar-SA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lang w:eastAsia="en-US" w:bidi="ar-SA"/>
              </w:rPr>
              <w:t>5 prize, lungimea cablului 1,8 m, curent (A), 16 A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MD"/>
              </w:rPr>
              <w:t>9</w:t>
            </w:r>
            <w:r>
              <w:rPr>
                <w:rFonts w:ascii="Times New Roman" w:hAnsi="Times New Roman"/>
                <w:lang w:val="ro-RO"/>
              </w:rPr>
              <w:t>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Cântar electronic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spacing w:before="0" w:after="0"/>
              <w:ind w:left="0" w:right="0" w:hanging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Cu braț rabatabil, cu afusaj dublu, cu încărcătura 300 kg, </w:t>
            </w:r>
            <w:r>
              <w:rPr>
                <w:rFonts w:ascii="Times New Roman" w:hAnsi="Times New Roman"/>
                <w:lang w:val="ro-MD"/>
              </w:rPr>
              <w:t>garanție min 12 luni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Cântar electronic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 xml:space="preserve">de 40 kg, cu baterii 4 V, </w:t>
            </w:r>
            <w:r>
              <w:rPr>
                <w:rFonts w:cs="Times New Roman" w:ascii="Times New Roman" w:hAnsi="Times New Roman"/>
                <w:shd w:fill="FFFFFF" w:val="clear"/>
                <w:lang w:val="ro-MD"/>
              </w:rPr>
              <w:t>garanție min 12 luni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5500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>Plafon rotund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LED, 18 </w:t>
            </w:r>
            <w:r>
              <w:rPr>
                <w:lang w:val="ro-MD"/>
              </w:rPr>
              <w:t>W</w:t>
            </w:r>
            <w:r>
              <w:rPr/>
              <w:t>, flux luminos 1450 lm (lumina rece)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1600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>Plafon rotund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LED, 24 W, flux luminos 1680 lm (lumina rece)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MD"/>
              </w:rPr>
              <w:t>7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 xml:space="preserve">Bec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LED, soclu E27,flux luminos 1055 lm (lumina rece)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Plafon cu 2 tuburi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MD"/>
              </w:rPr>
              <w:t>18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 xml:space="preserve">2 tuburi LED 16  W, </w:t>
            </w:r>
          </w:p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4 socluri G13, dimensiuni: 1200x30 mm, flux luminos 1600 lm,(lumina rece)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>Tub LED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16 W, 2 socluri </w:t>
            </w:r>
            <w:r>
              <w:rPr>
                <w:rFonts w:cs="Times New Roman" w:ascii="Times New Roman" w:hAnsi="Times New Roman"/>
                <w:shd w:fill="FFFFFF" w:val="clear"/>
              </w:rPr>
              <w:t>G13, dimensiuni: 1200x30 mm, flux luminos 1600 lm,(lumina rece)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>Tub LED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8 W, 2 socluri </w:t>
            </w:r>
            <w:r>
              <w:rPr>
                <w:rFonts w:cs="Times New Roman" w:ascii="Times New Roman" w:hAnsi="Times New Roman"/>
                <w:shd w:fill="FFFFFF" w:val="clear"/>
              </w:rPr>
              <w:t>G13, dimensiuni: 600x30 mm, flux luminos 800 lm,(lumina rece)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1500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 xml:space="preserve">Indicator LED IEȘIRE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Montare pe perete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2200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 xml:space="preserve">Detector de fum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Fotoelectric, 9 V, nivel de sunet 85 dB, </w:t>
            </w:r>
          </w:p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dimensiuni </w:t>
            </w:r>
            <w:r>
              <w:rPr>
                <w:rFonts w:eastAsia="NSimSun" w:cs="Arial"/>
              </w:rPr>
              <w:t>~</w:t>
            </w:r>
            <w:r>
              <w:rPr/>
              <w:t xml:space="preserve"> 107*35 mm 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/>
            </w:pPr>
            <w:r>
              <w:rPr/>
              <w:t xml:space="preserve">Cooler de apă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Amplasarea buteliei-sus, cu compresor, apa/racită -2 l/oră, capacitate de răcire-100W, capacitate de răcire-650W, </w:t>
            </w:r>
            <w:r>
              <w:rPr>
                <w:rFonts w:cs="Times New Roman CYR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lang w:val="en-US" w:eastAsia="en-US" w:bidi="ar-SA"/>
              </w:rPr>
              <w:t>garanție 24 luni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8000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itlu2"/>
              <w:widowControl w:val="false"/>
              <w:tabs>
                <w:tab w:val="clear" w:pos="709"/>
              </w:tabs>
              <w:spacing w:before="200" w:after="120"/>
              <w:ind w:left="0" w:hanging="0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  <w:t>Întrerupător UZO 2P 25А/10mA 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itlu2"/>
              <w:widowControl w:val="false"/>
              <w:tabs>
                <w:tab w:val="clear" w:pos="709"/>
              </w:tabs>
              <w:spacing w:before="200" w:after="120"/>
              <w:ind w:left="0" w:hanging="0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  <w:t>2P 25А/10mA 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4000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itlu2"/>
              <w:widowControl w:val="false"/>
              <w:tabs>
                <w:tab w:val="clear" w:pos="709"/>
              </w:tabs>
              <w:spacing w:before="200" w:after="120"/>
              <w:ind w:left="0" w:hanging="0"/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  <w:t>Întrerupător automat (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u-RU"/>
              </w:rPr>
              <w:t xml:space="preserve">выключатель автоматический 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 xml:space="preserve">3 P, 100 A 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12000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itlu2"/>
              <w:widowControl w:val="false"/>
              <w:tabs>
                <w:tab w:val="clear" w:pos="709"/>
              </w:tabs>
              <w:spacing w:before="200" w:after="120"/>
              <w:ind w:left="0" w:hanging="0"/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  <w:t>Întrerupător automat (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u-RU"/>
              </w:rPr>
              <w:t xml:space="preserve">выключатель автоматический 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>
                <w:lang w:val="ru-RU"/>
              </w:rPr>
              <w:t>1</w:t>
            </w:r>
            <w:r>
              <w:rPr/>
              <w:t xml:space="preserve"> P, 1</w:t>
            </w:r>
            <w:r>
              <w:rPr>
                <w:lang w:val="ru-RU"/>
              </w:rPr>
              <w:t>6</w:t>
            </w:r>
            <w:r>
              <w:rPr/>
              <w:t xml:space="preserve"> A 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1700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17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itlu2"/>
              <w:widowControl w:val="false"/>
              <w:tabs>
                <w:tab w:val="clear" w:pos="709"/>
              </w:tabs>
              <w:spacing w:before="200" w:after="120"/>
              <w:ind w:left="0" w:hanging="0"/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  <w:t>Întrerupător automat (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u-RU"/>
              </w:rPr>
              <w:t xml:space="preserve">выключатель автоматический </w:t>
            </w: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>
                <w:lang w:val="ru-RU"/>
              </w:rPr>
              <w:t>1</w:t>
            </w:r>
            <w:r>
              <w:rPr/>
              <w:t xml:space="preserve"> P, 25 A 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1700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18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>Întrerupător dublu (</w:t>
            </w:r>
            <w:r>
              <w:rPr>
                <w:lang w:val="ru-RU"/>
              </w:rPr>
              <w:t>выключатель внутренний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1300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19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>Întrerupător dublu (</w:t>
            </w:r>
            <w:r>
              <w:rPr>
                <w:lang w:val="ru-RU"/>
              </w:rPr>
              <w:t>выключатель наружный</w:t>
            </w:r>
            <w:r>
              <w:rPr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1300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>Întrerupător  (</w:t>
            </w:r>
            <w:r>
              <w:rPr>
                <w:lang w:val="ru-RU"/>
              </w:rPr>
              <w:t>выключатель ординарный  внутренний</w:t>
            </w:r>
            <w:r>
              <w:rPr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1300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21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>Întrerupător  (</w:t>
            </w:r>
            <w:r>
              <w:rPr>
                <w:lang w:val="ru-RU"/>
              </w:rPr>
              <w:t>выключатель ординарный  наружный</w:t>
            </w:r>
            <w:r>
              <w:rPr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u-RU"/>
              </w:rPr>
              <w:t>1300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22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Priză dublă cu împământare,  </w:t>
            </w:r>
            <w:r>
              <w:rPr>
                <w:lang w:val="ru-RU"/>
              </w:rPr>
              <w:t>внутренняя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700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23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Priză dublă cu împământare, </w:t>
            </w:r>
            <w:r>
              <w:rPr>
                <w:lang w:val="ru-RU"/>
              </w:rPr>
              <w:t>наружная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700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24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Priză cu împământare,  </w:t>
            </w:r>
            <w:r>
              <w:rPr>
                <w:lang w:val="ru-RU"/>
              </w:rPr>
              <w:t>внутренняя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700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25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Priză cu împământare, </w:t>
            </w:r>
            <w:r>
              <w:rPr>
                <w:lang w:val="ru-RU"/>
              </w:rPr>
              <w:t>наружная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/>
            </w:pPr>
            <w:r>
              <w:rPr/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10 A, culoare Alb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MD"/>
              </w:rPr>
              <w:t>700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26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Robinet cu încălzitor de apă </w:t>
            </w:r>
            <w:r>
              <w:rPr>
                <w:lang w:val="ru-RU"/>
              </w:rPr>
              <w:t xml:space="preserve">(Смеситель с проточным водонагревателем)               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/>
            </w:pPr>
            <w:r>
              <w:rPr/>
              <w:t>buc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  <w:t>3000 W, G1/2, ( la priză 1,5 m), L 20 cm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u-RU"/>
              </w:rPr>
            </w:pPr>
            <w:r>
              <w:rPr>
                <w:lang w:val="ru-RU"/>
              </w:rPr>
              <w:t>27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Cablu </w:t>
            </w:r>
            <w:r>
              <w:rPr>
                <w:lang w:val="ru-RU"/>
              </w:rPr>
              <w:t>ВВГ 3х2,5, медь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/>
            </w:pPr>
            <w:r>
              <w:rPr/>
              <w:t>m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2000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Cablu </w:t>
            </w:r>
            <w:r>
              <w:rPr>
                <w:lang w:val="ru-RU"/>
              </w:rPr>
              <w:t>ВВГ 2х1,5, медь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/>
            </w:pPr>
            <w:r>
              <w:rPr/>
              <w:t>m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u-RU"/>
              </w:rPr>
            </w:pPr>
            <w:r>
              <w:rPr>
                <w:lang w:val="ru-RU"/>
              </w:rPr>
              <w:t>29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>Canal cablu 2x2 cm, alb (</w:t>
            </w:r>
            <w:r>
              <w:rPr>
                <w:lang w:val="ru-RU"/>
              </w:rPr>
              <w:t>двойной замок</w:t>
            </w:r>
            <w:r>
              <w:rPr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/>
            </w:pPr>
            <w:r>
              <w:rPr/>
              <w:t>m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>
        <w:trPr/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jc w:val="left"/>
              <w:rPr/>
            </w:pPr>
            <w:r>
              <w:rPr/>
              <w:t>39710000-2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lang w:val="ro-MD"/>
              </w:rPr>
            </w:pPr>
            <w:r>
              <w:rPr>
                <w:lang w:val="ro-MD"/>
              </w:rPr>
              <w:t>Canal cablu 3x2 cm, alb (</w:t>
            </w:r>
            <w:r>
              <w:rPr>
                <w:lang w:val="ru-RU"/>
              </w:rPr>
              <w:t>двойной замок</w:t>
            </w:r>
            <w:r>
              <w:rPr>
                <w:lang w:val="ro-MD"/>
              </w:rPr>
              <w:t>)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/>
            </w:pPr>
            <w:r>
              <w:rPr/>
              <w:t>m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30</w:t>
            </w:r>
          </w:p>
        </w:tc>
        <w:tc>
          <w:tcPr>
            <w:tcW w:w="2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widowControl w:val="false"/>
              <w:tabs>
                <w:tab w:val="clear" w:pos="709"/>
              </w:tabs>
              <w:spacing w:lineRule="auto" w:line="240"/>
              <w:jc w:val="both"/>
              <w:rPr/>
            </w:pPr>
            <w:r>
              <w:rPr/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>
        <w:trPr/>
        <w:tc>
          <w:tcPr>
            <w:tcW w:w="10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inuttabel"/>
              <w:widowControl w:val="false"/>
              <w:tabs>
                <w:tab w:val="clear" w:pos="709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Total                                                                                                                    7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7600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ind w:left="0" w:right="0" w:hanging="0"/>
        <w:rPr>
          <w:rFonts w:ascii="Times New Roman" w:hAnsi="Times New Roman" w:cs="0"/>
          <w:lang w:val="ro-RO" w:eastAsia="ru-RU"/>
        </w:rPr>
      </w:pPr>
      <w:r>
        <w:rPr>
          <w:rFonts w:cs="0" w:ascii="Times New Roman" w:hAnsi="Times New Roman"/>
          <w:lang w:val="ro-RO" w:eastAsia="ru-RU"/>
        </w:rPr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lang w:val="ro-RO" w:eastAsia="ru-RU"/>
        </w:rPr>
        <w:t>1)</w:t>
      </w:r>
      <w:r>
        <w:rPr>
          <w:rFonts w:ascii="Times New Roman" w:hAnsi="Times New Roman"/>
          <w:b/>
          <w:bCs/>
          <w:lang w:val="ro-RO" w:eastAsia="ru-RU"/>
        </w:rPr>
        <w:t xml:space="preserve"> </w:t>
      </w:r>
      <w:r>
        <w:rPr>
          <w:rFonts w:ascii="Times New Roman" w:hAnsi="Times New Roman"/>
          <w:b w:val="false"/>
          <w:bCs w:val="false"/>
          <w:lang w:val="ro-RO" w:eastAsia="ru-RU"/>
        </w:rPr>
        <w:t>pentru un singur lot;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lang w:val="ro-RO" w:eastAsia="ru-RU"/>
        </w:rPr>
        <w:t xml:space="preserve">2) </w:t>
      </w:r>
      <w:r>
        <w:rPr>
          <w:rFonts w:ascii="Times New Roman" w:hAnsi="Times New Roman"/>
          <w:b w:val="false"/>
          <w:bCs w:val="false"/>
          <w:lang w:val="ro-RO" w:eastAsia="ru-RU"/>
        </w:rPr>
        <w:t>pentru mai multe loturi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lang w:val="ro-RO" w:eastAsia="ru-RU"/>
        </w:rPr>
        <w:t xml:space="preserve">3) </w:t>
      </w:r>
      <w:r>
        <w:rPr>
          <w:rFonts w:ascii="Times New Roman" w:hAnsi="Times New Roman"/>
          <w:b/>
          <w:bCs/>
          <w:lang w:val="ro-RO" w:eastAsia="ru-RU"/>
        </w:rPr>
        <w:t>pentru toate loturile;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lang w:val="ro-RO" w:eastAsia="ru-RU"/>
        </w:rPr>
        <w:t>4) alte limitări privind numărul de loturi care pot fi atribuite aceluiaşi ofertant_______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10. Termenele şi condiţiile de prestare solicitate  </w:t>
      </w:r>
      <w:r>
        <w:rPr>
          <w:rFonts w:ascii="Times New Roman" w:hAnsi="Times New Roman"/>
          <w:b/>
          <w:bCs/>
          <w:lang w:val="ro-RO" w:eastAsia="ru-RU"/>
        </w:rPr>
        <w:t>În termen de 5 zile de la comandă p</w:t>
      </w:r>
      <w:r>
        <w:rPr>
          <w:rFonts w:ascii="Times New Roman" w:hAnsi="Times New Roman"/>
          <w:b/>
          <w:bCs/>
          <w:color w:val="333333"/>
          <w:lang w:val="it-IT" w:eastAsia="ru-RU"/>
        </w:rPr>
        <w:t>e parcursul anului 2026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11. Termenul de valabilitate a contractului până la </w:t>
      </w:r>
      <w:r>
        <w:rPr>
          <w:rFonts w:ascii="Times New Roman" w:hAnsi="Times New Roman"/>
          <w:b w:val="false"/>
          <w:bCs w:val="false"/>
          <w:lang w:val="ro-RO" w:eastAsia="ru-RU"/>
        </w:rPr>
        <w:t>31.12.2026</w:t>
      </w:r>
    </w:p>
    <w:p>
      <w:pPr>
        <w:pStyle w:val="Normal"/>
        <w:ind w:left="0" w:right="0" w:firstLine="567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12. Scurtă descriere (indicați după caz) a criteriilor de calificare:</w:t>
      </w:r>
    </w:p>
    <w:tbl>
      <w:tblPr>
        <w:tblW w:w="9637" w:type="dxa"/>
        <w:jc w:val="left"/>
        <w:tblInd w:w="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690"/>
        <w:gridCol w:w="3497"/>
        <w:gridCol w:w="3654"/>
        <w:gridCol w:w="1795"/>
      </w:tblGrid>
      <w:tr>
        <w:trPr/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1.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bCs/>
                <w:lang w:val="ro-RO" w:bidi="ar-SA"/>
              </w:rPr>
              <w:t>Specificații tehnice</w:t>
            </w:r>
          </w:p>
        </w:tc>
        <w:tc>
          <w:tcPr>
            <w:tcW w:w="36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ind w:left="0" w:right="0" w:hanging="0"/>
              <w:rPr>
                <w:lang w:val="en-US"/>
              </w:rPr>
            </w:pPr>
            <w:r>
              <w:rPr>
                <w:rFonts w:ascii="Times New Roman" w:hAnsi="Times New Roman"/>
                <w:lang w:val="en-US" w:bidi="ar-SA"/>
              </w:rPr>
              <w:t>Anexa nr. 22 la Doc. Standard completat- confirmat prin aplicarea semnăturii electronice.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eastAsia="SimSun"/>
                <w:lang w:bidi="ar-SA"/>
              </w:rPr>
            </w:pPr>
            <w:r>
              <w:rPr>
                <w:rFonts w:eastAsia="SimSun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2.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eastAsia="SimSun"/>
                <w:bCs/>
                <w:lang w:bidi="ar-SA"/>
              </w:rPr>
            </w:pPr>
            <w:r>
              <w:rPr>
                <w:rFonts w:eastAsia="SimSun"/>
                <w:bCs/>
                <w:lang w:bidi="ar-SA"/>
              </w:rPr>
              <w:t>Specificații de preţ</w:t>
            </w:r>
          </w:p>
          <w:p>
            <w:pPr>
              <w:pStyle w:val="Default"/>
              <w:widowControl w:val="false"/>
              <w:tabs>
                <w:tab w:val="clear" w:pos="709"/>
              </w:tabs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6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lang w:val="en-US"/>
              </w:rPr>
            </w:pPr>
            <w:r>
              <w:rPr>
                <w:rFonts w:eastAsia="SimSun"/>
                <w:lang w:val="en-US" w:bidi="ar-SA"/>
              </w:rPr>
              <w:t>Anexa nr. 23 la Doc. Standard completat- confirmat prin aplicarea semnăturii electronice.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eastAsia="SimSun"/>
                <w:lang w:bidi="ar-SA"/>
              </w:rPr>
            </w:pPr>
            <w:r>
              <w:rPr>
                <w:rFonts w:eastAsia="SimSun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3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lang w:val="x-none"/>
              </w:rPr>
            </w:pPr>
            <w:r>
              <w:rPr>
                <w:rFonts w:eastAsia="SimSun"/>
                <w:color w:val="1C1C1C"/>
                <w:lang w:val="x-none" w:bidi="ar-SA"/>
              </w:rPr>
              <w:t>Declarație de eligibilitate</w:t>
            </w:r>
          </w:p>
        </w:tc>
        <w:tc>
          <w:tcPr>
            <w:tcW w:w="36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lang w:val="en-US"/>
              </w:rPr>
            </w:pPr>
            <w:r>
              <w:rPr>
                <w:rFonts w:eastAsia="SimSun"/>
                <w:lang w:val="en-US" w:eastAsia="ru-RU" w:bidi="ar-SA"/>
              </w:rPr>
              <w:t>Anexa nr. 2</w:t>
            </w:r>
            <w:r>
              <w:rPr>
                <w:rFonts w:eastAsia="SimSun"/>
                <w:lang w:val="ro-RO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la Regulamentul cu privire la achizițiile</w:t>
            </w:r>
            <w:r>
              <w:rPr>
                <w:rFonts w:eastAsia="SimSun"/>
                <w:lang w:val="ro-RO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publice de valoare mică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eastAsia="SimSun"/>
                <w:color w:val="002060"/>
                <w:lang w:bidi="ar-SA"/>
              </w:rPr>
            </w:pPr>
            <w:r>
              <w:rPr>
                <w:rFonts w:eastAsia="SimSun"/>
                <w:color w:val="002060"/>
                <w:lang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4</w:t>
            </w:r>
          </w:p>
        </w:tc>
        <w:tc>
          <w:tcPr>
            <w:tcW w:w="34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lang w:val="en-US"/>
              </w:rPr>
            </w:pPr>
            <w:r>
              <w:rPr>
                <w:rFonts w:eastAsia="SimSun"/>
                <w:bCs/>
                <w:lang w:val="en-US" w:bidi="ar-SA"/>
              </w:rPr>
              <w:t>Dovada înregistrării persoanei juridice, în conformitate cu prevederile legale din ţara în care ofertantul este stabilit (date de contact)</w:t>
            </w:r>
          </w:p>
        </w:tc>
        <w:tc>
          <w:tcPr>
            <w:tcW w:w="36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lang w:val="en-US"/>
              </w:rPr>
            </w:pPr>
            <w:r>
              <w:rPr>
                <w:rFonts w:eastAsia="SimSun"/>
                <w:lang w:val="en-US" w:bidi="ar-SA"/>
              </w:rPr>
              <w:t>Extras din Registrul de stat al persoanelor juridice - copie, confirmată prin aplicarea semnăturii electronice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tabs>
                <w:tab w:val="clear" w:pos="709"/>
              </w:tabs>
              <w:spacing w:lineRule="auto" w:line="240"/>
              <w:rPr>
                <w:rFonts w:eastAsia="SimSun"/>
                <w:lang w:bidi="ar-SA"/>
              </w:rPr>
            </w:pPr>
            <w:r>
              <w:rPr>
                <w:rFonts w:eastAsia="SimSun"/>
                <w:lang w:bidi="ar-SA"/>
              </w:rPr>
              <w:t>Obligatoriu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rFonts w:ascii="Times New Roman" w:hAnsi="Times New Roman"/>
          <w:lang w:val="ro-RO" w:eastAsia="ru-RU"/>
        </w:rPr>
        <w:t>___________________________________________________________.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14.  Condiţii speciale de care depinde îndeplinirea contractului (indicaţi după caz)</w:t>
      </w:r>
      <w:r>
        <w:rPr>
          <w:rFonts w:ascii="Times New Roman" w:hAnsi="Times New Roman"/>
          <w:lang w:val="ro-RO" w:eastAsia="ru-RU"/>
        </w:rPr>
        <w:t>______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15. Ofertele se prezintă în valută  LEI, MD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16. Criteriul de evaluare aplicat pentru atribuirea contractului </w:t>
      </w:r>
      <w:r>
        <w:rPr>
          <w:rFonts w:ascii="Times New Roman" w:hAnsi="Times New Roman"/>
          <w:b/>
          <w:bCs/>
          <w:lang w:val="ro-RO" w:eastAsia="ru-RU"/>
        </w:rPr>
        <w:t xml:space="preserve">Cel mai mic preț 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W w:w="7228" w:type="dxa"/>
        <w:jc w:val="left"/>
        <w:tblInd w:w="1276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rPr>
          <w:rFonts w:ascii="Times New Roman" w:hAnsi="Times New Roman" w:cs="0"/>
          <w:lang w:val="ro-RO" w:eastAsia="ru-RU"/>
        </w:rPr>
      </w:pPr>
      <w:r>
        <w:rPr>
          <w:rFonts w:cs="0" w:ascii="Times New Roman" w:hAnsi="Times New Roman"/>
          <w:lang w:val="ro-RO" w:eastAsia="ru-RU"/>
        </w:rPr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rPr>
          <w:lang w:val="ro-RO"/>
        </w:rPr>
      </w:pPr>
      <w:r>
        <w:rPr>
          <w:rFonts w:ascii="Times New Roman" w:hAnsi="Times New Roman"/>
          <w:lang w:val="ro-RO" w:eastAsia="ru-RU"/>
        </w:rPr>
        <w:noBreakHyphen/>
        <w:t> </w:t>
      </w:r>
      <w:r>
        <w:rPr>
          <w:rFonts w:ascii="Times New Roman" w:hAnsi="Times New Roman"/>
          <w:bCs/>
          <w:lang w:val="ro-RO" w:eastAsia="ru-RU"/>
        </w:rPr>
        <w:t>conform SIA ,,RSAP”/până la: </w:t>
      </w:r>
      <w:r>
        <w:rPr>
          <w:rFonts w:ascii="Times New Roman" w:hAnsi="Times New Roman"/>
          <w:bCs/>
          <w:i/>
          <w:iCs/>
          <w:lang w:val="ro-RO" w:eastAsia="ru-RU"/>
        </w:rPr>
        <w:t>(ora exactă)</w:t>
      </w:r>
      <w:r>
        <w:rPr>
          <w:rFonts w:ascii="Times New Roman" w:hAnsi="Times New Roman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rPr>
          <w:lang w:val="ro-RO"/>
        </w:rPr>
      </w:pPr>
      <w:r>
        <w:rPr>
          <w:rFonts w:ascii="Times New Roman" w:hAnsi="Times New Roman"/>
          <w:lang w:val="ro-RO" w:eastAsia="ru-RU"/>
        </w:rPr>
        <w:noBreakHyphen/>
        <w:t> </w:t>
      </w:r>
      <w:r>
        <w:rPr>
          <w:rFonts w:ascii="Times New Roman" w:hAnsi="Times New Roman"/>
          <w:bCs/>
          <w:lang w:val="ro-RO" w:eastAsia="ru-RU"/>
        </w:rPr>
        <w:t>pe: </w:t>
      </w:r>
      <w:r>
        <w:rPr>
          <w:rFonts w:ascii="Times New Roman" w:hAnsi="Times New Roman"/>
          <w:bCs/>
          <w:i/>
          <w:iCs/>
          <w:lang w:val="ro-RO" w:eastAsia="ru-RU"/>
        </w:rPr>
        <w:t>(data)</w:t>
      </w:r>
      <w:r>
        <w:rPr>
          <w:rFonts w:ascii="Times New Roman" w:hAnsi="Times New Roman"/>
          <w:lang w:val="ro-RO" w:eastAsia="ru-RU"/>
        </w:rPr>
        <w:t>_____________________________________________________________</w:t>
      </w:r>
    </w:p>
    <w:p>
      <w:pPr>
        <w:pStyle w:val="Normal"/>
        <w:rPr>
          <w:rFonts w:ascii="Times New Roman" w:hAnsi="Times New Roman"/>
          <w:bCs/>
          <w:lang w:val="ro-RO" w:eastAsia="ru-RU"/>
        </w:rPr>
      </w:pPr>
      <w:r>
        <w:rPr>
          <w:rFonts w:ascii="Times New Roman" w:hAnsi="Times New Roman"/>
          <w:bCs/>
          <w:lang w:val="ro-RO" w:eastAsia="ru-RU"/>
        </w:rPr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19. Adresa la care trebuie transmise ofertele sau cererile de participare___________________________________________________________________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i/>
          <w:iCs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20. Termenul de valabilitate a ofertelor</w:t>
      </w:r>
      <w:r>
        <w:rPr>
          <w:rFonts w:ascii="Times New Roman" w:hAnsi="Times New Roman"/>
          <w:lang w:val="ro-RO" w:eastAsia="ru-RU"/>
        </w:rPr>
        <w:t>______________________________________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21. Locul deschiderii ofertelor</w:t>
      </w:r>
      <w:r>
        <w:rPr>
          <w:rFonts w:ascii="Times New Roman" w:hAnsi="Times New Roman"/>
          <w:lang w:val="ro-RO" w:eastAsia="ru-RU"/>
        </w:rPr>
        <w:t>_____________________________________________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lang w:val="ro-RO" w:eastAsia="ru-RU"/>
        </w:rPr>
        <w:t xml:space="preserve">                                                                    </w:t>
      </w:r>
      <w:r>
        <w:rPr>
          <w:rFonts w:ascii="Times New Roman" w:hAnsi="Times New Roman"/>
          <w:lang w:val="ro-RO" w:eastAsia="ru-RU"/>
        </w:rPr>
        <w:t>(SIA ,,RSAP” sau adresa locului deschiderii)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i/>
          <w:iCs/>
          <w:lang w:val="ro-RO" w:eastAsia="ru-RU"/>
        </w:rPr>
        <w:t>Ofertele întârziate vor fi respinse.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22. Limba sau limbile în care trebuie redactate ofertele sau cererile de participare  Română</w:t>
      </w:r>
    </w:p>
    <w:p>
      <w:pPr>
        <w:pStyle w:val="Normal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23. Alte informaţii relevante</w:t>
      </w:r>
      <w:r>
        <w:rPr>
          <w:rFonts w:ascii="Times New Roman" w:hAnsi="Times New Roman"/>
          <w:lang w:val="ro-RO" w:eastAsia="ru-RU"/>
        </w:rPr>
        <w:t>__________________________________________________</w:t>
      </w:r>
    </w:p>
    <w:p>
      <w:pPr>
        <w:pStyle w:val="Normal"/>
        <w:rPr>
          <w:rFonts w:ascii="Times New Roman" w:hAnsi="Times New Roman"/>
          <w:bCs/>
          <w:lang w:val="ro-RO" w:eastAsia="ru-RU"/>
        </w:rPr>
      </w:pPr>
      <w:r>
        <w:rPr>
          <w:rFonts w:ascii="Times New Roman" w:hAnsi="Times New Roman"/>
          <w:bCs/>
          <w:lang w:val="ro-RO" w:eastAsia="ru-RU"/>
        </w:rPr>
      </w:r>
    </w:p>
    <w:p>
      <w:pPr>
        <w:pStyle w:val="Normal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lang w:val="ro-RO" w:eastAsia="ru-RU"/>
        </w:rPr>
      </w:r>
    </w:p>
    <w:p>
      <w:pPr>
        <w:pStyle w:val="Normal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lang w:val="ro-RO" w:eastAsia="ru-RU"/>
        </w:rPr>
      </w:r>
    </w:p>
    <w:p>
      <w:pPr>
        <w:pStyle w:val="Normal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lang w:val="ro-RO" w:eastAsia="ru-RU"/>
        </w:rPr>
      </w:r>
    </w:p>
    <w:p>
      <w:pPr>
        <w:pStyle w:val="Normal"/>
        <w:rPr/>
      </w:pPr>
      <w:r>
        <w:rPr>
          <w:rFonts w:ascii="Times New Roman" w:hAnsi="Times New Roman"/>
          <w:b/>
          <w:bCs/>
          <w:lang w:val="ro-RO" w:eastAsia="ru-RU"/>
        </w:rPr>
        <w:t>Conducătorul grupului de lucru</w:t>
      </w:r>
      <w:r>
        <w:rPr>
          <w:rFonts w:ascii="Times New Roman" w:hAnsi="Times New Roman"/>
          <w:lang w:val="ro-RO" w:eastAsia="ru-RU"/>
        </w:rPr>
        <w:t xml:space="preserve">                                          </w:t>
      </w:r>
      <w:r>
        <w:rPr>
          <w:rFonts w:ascii="Times New Roman" w:hAnsi="Times New Roman"/>
          <w:b/>
          <w:bCs/>
          <w:lang w:val="ro-RO" w:eastAsia="ru-RU"/>
        </w:rPr>
        <w:t>Arcadie Serdeșniuc 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2">
    <w:name w:val="Heading 2"/>
    <w:basedOn w:val="Titlu"/>
    <w:next w:val="Corptext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Markedcontent">
    <w:name w:val="markedconten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ro-MD" w:eastAsia="zh-CN" w:bidi="hi-IN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ru-RU" w:eastAsia="zh-CN" w:bidi="hi-IN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415</TotalTime>
  <Application>LibreOffice/7.5.4.2$Windows_X86_64 LibreOffice_project/36ccfdc35048b057fd9854c757a8b67ec53977b6</Application>
  <AppVersion>15.0000</AppVersion>
  <Pages>4</Pages>
  <Words>1018</Words>
  <Characters>5906</Characters>
  <CharactersWithSpaces>6932</CharactersWithSpaces>
  <Paragraphs>284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cp:lastPrinted>2026-01-05T15:19:29Z</cp:lastPrinted>
  <dcterms:modified xsi:type="dcterms:W3CDTF">2026-01-05T16:02:11Z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