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tabs>
          <w:tab w:val="left" w:pos="567"/>
        </w:tabs>
        <w:spacing w:before="0" w:beforeAutospacing="0" w:after="0"/>
        <w:ind w:left="0" w:firstLine="0"/>
        <w:jc w:val="both"/>
        <w:rPr>
          <w:rFonts w:eastAsia="PMingLiU"/>
          <w:lang w:val="it-IT" w:eastAsia="zh-CN"/>
        </w:rPr>
      </w:pPr>
    </w:p>
    <w:p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 xml:space="preserve">ANUNȚ DE PARTICIPARE </w:t>
      </w:r>
    </w:p>
    <w:bookmarkEnd w:id="0"/>
    <w:p>
      <w:pPr>
        <w:spacing w:before="120"/>
        <w:jc w:val="center"/>
        <w:outlineLvl w:val="0"/>
        <w:rPr>
          <w:rFonts w:hint="default"/>
          <w:b/>
          <w:sz w:val="28"/>
          <w:szCs w:val="28"/>
          <w:lang w:val="ro-RO" w:eastAsia="ru-RU"/>
        </w:rPr>
      </w:pPr>
      <w:r>
        <w:rPr>
          <w:rFonts w:hint="default"/>
          <w:b/>
          <w:sz w:val="28"/>
          <w:szCs w:val="28"/>
          <w:lang w:val="ro-RO" w:eastAsia="ru-RU"/>
        </w:rPr>
        <w:t>p</w:t>
      </w:r>
      <w:r>
        <w:rPr>
          <w:rFonts w:hint="default"/>
          <w:b/>
          <w:sz w:val="28"/>
          <w:szCs w:val="28"/>
          <w:lang w:val="en-US" w:eastAsia="ru-RU"/>
        </w:rPr>
        <w:t>rivind achizi</w:t>
      </w:r>
      <w:r>
        <w:rPr>
          <w:rFonts w:hint="default"/>
          <w:b/>
          <w:sz w:val="28"/>
          <w:szCs w:val="28"/>
          <w:lang w:val="ro-RO" w:eastAsia="ru-RU"/>
        </w:rPr>
        <w:t>ționarea Brichetelor</w:t>
      </w:r>
    </w:p>
    <w:p>
      <w:pPr>
        <w:spacing w:before="120"/>
        <w:jc w:val="center"/>
        <w:outlineLvl w:val="0"/>
        <w:rPr>
          <w:rFonts w:hint="default"/>
          <w:b/>
          <w:sz w:val="28"/>
          <w:szCs w:val="28"/>
          <w:lang w:val="ro-RO" w:eastAsia="ru-RU"/>
        </w:rPr>
      </w:pPr>
      <w:r>
        <w:rPr>
          <w:rFonts w:hint="default"/>
          <w:b/>
          <w:sz w:val="28"/>
          <w:szCs w:val="28"/>
          <w:lang w:val="ro-RO" w:eastAsia="ru-RU"/>
        </w:rPr>
        <w:t xml:space="preserve">prin procedura de achiziție: </w:t>
      </w:r>
      <w:r>
        <w:rPr>
          <w:rFonts w:hint="default"/>
          <w:b/>
          <w:sz w:val="28"/>
          <w:szCs w:val="28"/>
          <w:u w:val="single"/>
          <w:lang w:val="ro-RO" w:eastAsia="ru-RU"/>
        </w:rPr>
        <w:t>Cererea Ofertelor de Prețuri</w:t>
      </w:r>
    </w:p>
    <w:p>
      <w:pPr>
        <w:shd w:val="clear" w:color="auto" w:fill="FFFFFF" w:themeFill="background1"/>
        <w:spacing w:before="120"/>
        <w:outlineLvl w:val="0"/>
        <w:rPr>
          <w:b/>
          <w:sz w:val="32"/>
          <w:szCs w:val="32"/>
          <w:lang w:eastAsia="ru-RU"/>
        </w:rPr>
      </w:pPr>
    </w:p>
    <w:p>
      <w:pPr>
        <w:shd w:val="clear" w:color="auto" w:fill="FFFFFF" w:themeFill="background1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rFonts w:hint="default"/>
          <w:b/>
          <w:bCs/>
          <w:sz w:val="24"/>
          <w:szCs w:val="24"/>
          <w:lang w:val="ro-RO" w:eastAsia="ru-RU"/>
        </w:rPr>
        <w:t xml:space="preserve">*Procedura a fost inclusă în planul de achiziții publice a autorității contractante (Da/Nu):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Da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u-RU" w:eastAsia="ru-RU"/>
        </w:rPr>
      </w:pPr>
      <w:r>
        <w:rPr>
          <w:b/>
          <w:lang w:val="ru-RU" w:eastAsia="ru-RU"/>
        </w:rPr>
        <w:t>Denumirea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autorității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 xml:space="preserve">contractante: </w:t>
      </w:r>
      <w:r>
        <w:rPr>
          <w:rFonts w:hint="default"/>
          <w:b/>
          <w:u w:val="single"/>
          <w:lang w:val="ro-RO" w:eastAsia="ru-RU"/>
        </w:rPr>
        <w:t xml:space="preserve">IP Liceul Republican de Muzică </w:t>
      </w:r>
      <w:r>
        <w:rPr>
          <w:rFonts w:hint="default"/>
          <w:b/>
          <w:u w:val="single"/>
          <w:lang w:val="en-US" w:eastAsia="ru-RU"/>
        </w:rPr>
        <w:t>“</w:t>
      </w:r>
      <w:r>
        <w:rPr>
          <w:rFonts w:hint="default"/>
          <w:b/>
          <w:u w:val="single"/>
          <w:lang w:val="ro-RO" w:eastAsia="ru-RU"/>
        </w:rPr>
        <w:t>Serghei Rahmaninov</w:t>
      </w:r>
      <w:r>
        <w:rPr>
          <w:rFonts w:hint="default"/>
          <w:b/>
          <w:u w:val="single"/>
          <w:lang w:val="en-US" w:eastAsia="ru-RU"/>
        </w:rPr>
        <w:t>”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IDNO:</w:t>
      </w:r>
      <w:r>
        <w:rPr>
          <w:rFonts w:hint="default"/>
          <w:b/>
          <w:u w:val="single"/>
          <w:shd w:val="clear" w:color="auto" w:fill="FFFFFF" w:themeFill="background1"/>
          <w:lang w:val="en-US" w:eastAsia="ru-RU"/>
        </w:rPr>
        <w:t>1014620008057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Adresa</w:t>
      </w:r>
      <w:r>
        <w:rPr>
          <w:rFonts w:hint="default"/>
          <w:b/>
          <w:shd w:val="clear" w:color="auto" w:fill="FFFFFF" w:themeFill="background1"/>
          <w:lang w:val="en-US" w:eastAsia="ru-RU"/>
        </w:rPr>
        <w:t xml:space="preserve">: </w:t>
      </w:r>
      <w:r>
        <w:rPr>
          <w:rFonts w:hint="default"/>
          <w:b/>
          <w:u w:val="single"/>
          <w:shd w:val="clear" w:color="auto" w:fill="FFFFFF" w:themeFill="background1"/>
          <w:lang w:val="en-US" w:eastAsia="ru-RU"/>
        </w:rPr>
        <w:t>mun. Chi</w:t>
      </w:r>
      <w:r>
        <w:rPr>
          <w:rFonts w:hint="default"/>
          <w:b/>
          <w:u w:val="single"/>
          <w:shd w:val="clear" w:color="auto" w:fill="FFFFFF" w:themeFill="background1"/>
          <w:lang w:val="ro-RO" w:eastAsia="ru-RU"/>
        </w:rPr>
        <w:t>șinău, str. M.Kogâlniceanu, 39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Numărul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de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 xml:space="preserve">telefon/fax: </w:t>
      </w:r>
      <w:r>
        <w:rPr>
          <w:rFonts w:hint="default"/>
          <w:b/>
          <w:u w:val="single"/>
          <w:shd w:val="clear" w:color="auto" w:fill="FFFFFF" w:themeFill="background1"/>
          <w:lang w:val="ro-RO" w:eastAsia="ru-RU"/>
        </w:rPr>
        <w:t>022-54-65-61</w:t>
      </w:r>
      <w:r>
        <w:rPr>
          <w:b/>
          <w:shd w:val="clear" w:color="auto" w:fill="FFFFFF" w:themeFill="background1"/>
          <w:lang w:val="ru-RU" w:eastAsia="ru-RU"/>
        </w:rPr>
        <w:softHyphen/>
      </w:r>
      <w:r>
        <w:rPr>
          <w:b/>
          <w:shd w:val="clear" w:color="auto" w:fill="FFFFFF" w:themeFill="background1"/>
          <w:lang w:val="ru-RU" w:eastAsia="ru-RU"/>
        </w:rPr>
        <w:softHyphen/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și pagina web oficială ale autorității contractante: </w:t>
      </w:r>
      <w:r>
        <w:rPr>
          <w:rFonts w:hint="default"/>
          <w:b/>
          <w:lang w:val="ro-RO" w:eastAsia="ru-RU"/>
        </w:rPr>
        <w:t xml:space="preserve">                                   </w:t>
      </w:r>
      <w:r>
        <w:rPr>
          <w:rFonts w:hint="default"/>
          <w:b/>
          <w:u w:val="single"/>
          <w:shd w:val="clear" w:color="auto" w:fill="FFFFFF" w:themeFill="background1"/>
          <w:lang w:val="ro-RO" w:eastAsia="ru-RU"/>
        </w:rPr>
        <w:t>rahmaninov.liceul@gmail.com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val="it-IT" w:eastAsia="ru-RU"/>
        </w:rPr>
        <w:t>documentația de atribuire este anexată în cadrul procedurii în S</w:t>
      </w:r>
      <w:r>
        <w:rPr>
          <w:rFonts w:hint="default"/>
          <w:b/>
          <w:i/>
          <w:lang w:val="ro-RO" w:eastAsia="ru-RU"/>
        </w:rPr>
        <w:t>I</w:t>
      </w:r>
      <w:r>
        <w:rPr>
          <w:b/>
          <w:i/>
          <w:lang w:val="it-IT" w:eastAsia="ru-RU"/>
        </w:rPr>
        <w:t>A RSAP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hint="default"/>
          <w:b/>
          <w:u w:val="single"/>
          <w:lang w:val="ro-RO" w:eastAsia="ru-RU"/>
        </w:rPr>
        <w:t>Instituție Publică</w:t>
      </w:r>
      <w:r>
        <w:rPr>
          <w:rFonts w:hint="default"/>
          <w:b/>
          <w:lang w:val="ro-RO" w:eastAsia="ru-RU"/>
        </w:rPr>
        <w:t>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4"/>
        <w:tblpPr w:leftFromText="180" w:rightFromText="180" w:vertAnchor="text" w:horzAnchor="page" w:tblpX="1410" w:tblpY="317"/>
        <w:tblOverlap w:val="never"/>
        <w:tblW w:w="1022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025"/>
        <w:gridCol w:w="1752"/>
        <w:gridCol w:w="990"/>
        <w:gridCol w:w="892"/>
        <w:gridCol w:w="3130"/>
        <w:gridCol w:w="19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Unitateade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b/>
                <w:sz w:val="20"/>
                <w:szCs w:val="20"/>
                <w:lang w:val="ro-RO" w:eastAsia="ru-RU"/>
              </w:rPr>
            </w:pPr>
            <w:r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sz w:val="20"/>
                <w:szCs w:val="20"/>
                <w:lang w:val="it-IT" w:eastAsia="ru-RU"/>
              </w:rPr>
              <w:br w:type="textWrapping"/>
            </w:r>
            <w:r>
              <w:rPr>
                <w:rFonts w:hint="default"/>
                <w:b/>
                <w:sz w:val="20"/>
                <w:szCs w:val="20"/>
                <w:lang w:val="en-US" w:eastAsia="ru-RU"/>
              </w:rPr>
              <w:t>f</w:t>
            </w:r>
            <w:r>
              <w:rPr>
                <w:rFonts w:hint="default"/>
                <w:b/>
                <w:sz w:val="20"/>
                <w:szCs w:val="20"/>
                <w:lang w:val="ro-RO" w:eastAsia="ru-RU"/>
              </w:rPr>
              <w:t>ără TVA, lei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09110000-3</w:t>
            </w: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i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/>
                <w:bCs/>
                <w:i/>
                <w:sz w:val="20"/>
                <w:szCs w:val="20"/>
                <w:lang w:val="ro-RO" w:eastAsia="ru-RU"/>
              </w:rPr>
              <w:t xml:space="preserve">Brichete 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Tone</w:t>
            </w:r>
          </w:p>
        </w:tc>
        <w:tc>
          <w:tcPr>
            <w:tcW w:w="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 w:val="0"/>
                <w:bCs w:val="0"/>
                <w:color w:val="auto"/>
                <w:sz w:val="20"/>
                <w:szCs w:val="20"/>
                <w:lang w:val="ro-RO" w:eastAsia="ru-RU"/>
              </w:rPr>
              <w:t>70</w:t>
            </w:r>
          </w:p>
        </w:tc>
        <w:tc>
          <w:tcPr>
            <w:tcW w:w="3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after="0" w:afterAutospacing="0" w:line="312" w:lineRule="auto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u"/>
              </w:rPr>
              <w:t xml:space="preserve">Din </w:t>
            </w:r>
            <w:r>
              <w:rPr>
                <w:rFonts w:hint="default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en-US"/>
              </w:rPr>
              <w:t>biomas</w:t>
            </w:r>
            <w:r>
              <w:rPr>
                <w:rFonts w:hint="default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o-RO"/>
              </w:rPr>
              <w:t>ă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u"/>
              </w:rPr>
              <w:t>. Cu puterea calorică nu mai puţin de 18.5-19.0 MJ (4700 şi mai mult kcal/kg). Conţinutul de cenuşă 2-2.52% . Conţinutul de umiditate 8,5-10%. Lungimea brichetilor 250-350 mm. Livrare –</w:t>
            </w:r>
            <w:r>
              <w:rPr>
                <w:rFonts w:hint="default"/>
                <w:b w:val="0"/>
                <w:bCs/>
                <w:sz w:val="20"/>
                <w:szCs w:val="20"/>
                <w:u w:val="none"/>
                <w:lang w:val="ro-RO" w:eastAsia="ru-RU"/>
              </w:rPr>
              <w:t xml:space="preserve"> </w:t>
            </w:r>
            <w:r>
              <w:rPr>
                <w:rFonts w:hint="default"/>
                <w:b w:val="0"/>
                <w:bCs/>
                <w:color w:val="404040" w:themeColor="text1" w:themeTint="BF"/>
                <w:sz w:val="20"/>
                <w:szCs w:val="20"/>
                <w:u w:val="none"/>
                <w:lang w:val="ro-RO" w:eastAsia="ru-RU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>câte 6 tone de două ori pe lună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404040" w:themeColor="text1" w:themeTint="BF"/>
                <w:spacing w:val="0"/>
                <w:sz w:val="18"/>
                <w:szCs w:val="18"/>
                <w:lang w:val="ru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u"/>
              </w:rPr>
              <w:t>(conform prevederilor contractuale). Termenul de valabilitate a bunului nu poate fi mai mare de 12 luni. Ambalat în saci din polietilen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o-RO"/>
              </w:rPr>
              <w:t>ă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u"/>
              </w:rPr>
              <w:t xml:space="preserve"> a 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o-RO"/>
              </w:rPr>
              <w:t>câ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u"/>
              </w:rPr>
              <w:t>te 25-30 kg. Fără aditivi chimici. Durata medie de ardere a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olor w:val="333333"/>
                <w:spacing w:val="0"/>
                <w:sz w:val="18"/>
                <w:szCs w:val="18"/>
                <w:lang w:val="ru"/>
              </w:rPr>
              <w:t>combustibilului până la 9 ore. Livrarea la punctul de destinație și descarcaea va fi efectuată din contul agentului economic.</w:t>
            </w: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</w:p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</w:p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</w:p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</w:p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</w:p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color w:val="auto"/>
                <w:sz w:val="20"/>
                <w:szCs w:val="20"/>
                <w:lang w:val="ro-RO" w:eastAsia="ru-RU"/>
              </w:rPr>
              <w:t>325 500,0</w:t>
            </w:r>
            <w:bookmarkStart w:id="2" w:name="_GoBack"/>
            <w:bookmarkEnd w:id="2"/>
            <w:r>
              <w:rPr>
                <w:rFonts w:hint="default"/>
                <w:color w:val="auto"/>
                <w:sz w:val="20"/>
                <w:szCs w:val="20"/>
                <w:lang w:val="ro-RO" w:eastAsia="ru-RU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32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b/>
                <w:bCs/>
                <w:color w:val="auto"/>
                <w:sz w:val="20"/>
                <w:szCs w:val="20"/>
                <w:lang w:val="ro-RO" w:eastAsia="ru-RU"/>
              </w:rPr>
              <w:t>325 500,00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</w:t>
      </w:r>
      <w:r>
        <w:rPr>
          <w:rFonts w:hint="default"/>
          <w:b/>
          <w:lang w:val="ro-RO" w:eastAsia="ru-RU"/>
        </w:rPr>
        <w:t xml:space="preserve">: </w:t>
      </w:r>
      <w:r>
        <w:rPr>
          <w:rFonts w:hint="default"/>
          <w:b/>
          <w:u w:val="single"/>
          <w:lang w:val="ro-RO" w:eastAsia="ru-RU"/>
        </w:rPr>
        <w:t>Nu se aplică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ru-RU" w:eastAsia="ru-RU"/>
        </w:rPr>
      </w:pPr>
      <w:r>
        <w:rPr>
          <w:b/>
          <w:bCs/>
          <w:u w:val="single"/>
          <w:lang w:val="it-IT" w:eastAsia="ru-RU"/>
        </w:rPr>
        <w:t xml:space="preserve">Pentru un singur </w:t>
      </w:r>
      <w:r>
        <w:rPr>
          <w:b/>
          <w:bCs/>
          <w:u w:val="single"/>
          <w:lang w:val="ru-RU" w:eastAsia="ru-RU"/>
        </w:rPr>
        <w:t>lot;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>
        <w:rPr>
          <w:lang w:val="ru-RU" w:eastAsia="ru-RU"/>
        </w:rPr>
        <w:t>Pentru</w:t>
      </w:r>
      <w:r>
        <w:rPr>
          <w:lang w:eastAsia="ru-RU"/>
        </w:rPr>
        <w:t xml:space="preserve"> </w:t>
      </w:r>
      <w:r>
        <w:rPr>
          <w:lang w:val="ru-RU" w:eastAsia="ru-RU"/>
        </w:rPr>
        <w:t>mai</w:t>
      </w:r>
      <w:r>
        <w:rPr>
          <w:lang w:eastAsia="ru-RU"/>
        </w:rPr>
        <w:t xml:space="preserve"> </w:t>
      </w:r>
      <w:r>
        <w:rPr>
          <w:lang w:val="ru-RU" w:eastAsia="ru-RU"/>
        </w:rPr>
        <w:t>multe</w:t>
      </w:r>
      <w:r>
        <w:rPr>
          <w:lang w:eastAsia="ru-RU"/>
        </w:rPr>
        <w:t xml:space="preserve"> </w:t>
      </w:r>
      <w:r>
        <w:rPr>
          <w:lang w:val="ru-RU" w:eastAsia="ru-RU"/>
        </w:rPr>
        <w:t>loturi;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>
        <w:rPr>
          <w:lang w:val="ru-RU" w:eastAsia="ru-RU"/>
        </w:rPr>
        <w:t>Pentru</w:t>
      </w:r>
      <w:r>
        <w:rPr>
          <w:lang w:eastAsia="ru-RU"/>
        </w:rPr>
        <w:t xml:space="preserve"> </w:t>
      </w:r>
      <w:r>
        <w:rPr>
          <w:lang w:val="ru-RU" w:eastAsia="ru-RU"/>
        </w:rPr>
        <w:t>toate</w:t>
      </w:r>
      <w:r>
        <w:rPr>
          <w:lang w:eastAsia="ru-RU"/>
        </w:rPr>
        <w:t xml:space="preserve"> </w:t>
      </w:r>
      <w:r>
        <w:rPr>
          <w:lang w:val="ru-RU" w:eastAsia="ru-RU"/>
        </w:rPr>
        <w:t>loturile;</w:t>
      </w:r>
    </w:p>
    <w:p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>
        <w:rPr>
          <w:lang w:val="it-IT" w:eastAsia="ru-RU"/>
        </w:rPr>
        <w:t>Alte limitări privind numărul de loturi care pot fi atribuite aceluiași ofertant_____</w:t>
      </w:r>
    </w:p>
    <w:p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r>
        <w:rPr>
          <w:b/>
          <w:lang w:val="en-US" w:eastAsia="ru-RU"/>
        </w:rPr>
        <w:t>Admiterea sau interzicerea ofertelor alternative: __</w:t>
      </w:r>
      <w:r>
        <w:rPr>
          <w:rFonts w:hint="default"/>
          <w:b/>
          <w:u w:val="single"/>
          <w:lang w:val="ro-RO" w:eastAsia="ru-RU"/>
        </w:rPr>
        <w:t>nu se admite</w:t>
      </w:r>
      <w:r>
        <w:rPr>
          <w:b/>
          <w:lang w:val="en-US" w:eastAsia="ru-RU"/>
        </w:rPr>
        <w:t>_____</w:t>
      </w:r>
      <w:r>
        <w:rPr>
          <w:b/>
          <w:lang w:eastAsia="ru-RU"/>
        </w:rPr>
        <w:t>___</w:t>
      </w:r>
    </w:p>
    <w:p>
      <w:pPr>
        <w:shd w:val="clear" w:color="auto" w:fill="FFFFFF" w:themeFill="background1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                                                             (indicați se admite sau nu se admite)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>Termenii și condițiile de livrare/prestare solicitați:</w:t>
      </w:r>
      <w:r>
        <w:rPr>
          <w:rFonts w:hint="default"/>
          <w:b/>
          <w:lang w:val="ro-RO" w:eastAsia="ru-RU"/>
        </w:rPr>
        <w:t xml:space="preserve"> </w:t>
      </w:r>
      <w:r>
        <w:rPr>
          <w:b/>
          <w:sz w:val="24"/>
          <w:szCs w:val="24"/>
          <w:u w:val="single"/>
          <w:lang w:val="en-US"/>
        </w:rPr>
        <w:t>Livrarea  la punctul de destinație și desc</w:t>
      </w:r>
      <w:r>
        <w:rPr>
          <w:rFonts w:hint="default"/>
          <w:b/>
          <w:sz w:val="24"/>
          <w:szCs w:val="24"/>
          <w:u w:val="single"/>
          <w:lang w:val="ro-RO"/>
        </w:rPr>
        <w:t>ă</w:t>
      </w:r>
      <w:r>
        <w:rPr>
          <w:b/>
          <w:sz w:val="24"/>
          <w:szCs w:val="24"/>
          <w:u w:val="single"/>
          <w:lang w:val="en-US"/>
        </w:rPr>
        <w:t>rca</w:t>
      </w:r>
      <w:r>
        <w:rPr>
          <w:rFonts w:hint="default"/>
          <w:b/>
          <w:sz w:val="24"/>
          <w:szCs w:val="24"/>
          <w:u w:val="single"/>
          <w:lang w:val="en-US"/>
        </w:rPr>
        <w:t>r</w:t>
      </w:r>
      <w:r>
        <w:rPr>
          <w:b/>
          <w:sz w:val="24"/>
          <w:szCs w:val="24"/>
          <w:u w:val="single"/>
          <w:lang w:val="en-US"/>
        </w:rPr>
        <w:t>ea va fi efectuată din contul agentului economic</w:t>
      </w:r>
      <w:r>
        <w:rPr>
          <w:rFonts w:hint="default"/>
          <w:b/>
          <w:u w:val="single"/>
          <w:lang w:val="ro-RO" w:eastAsia="ru-RU"/>
        </w:rPr>
        <w:t>, la solicitarea autorității contractante, a c</w:t>
      </w:r>
      <w:r>
        <w:rPr>
          <w:rFonts w:hint="default"/>
          <w:b/>
          <w:color w:val="auto"/>
          <w:u w:val="single"/>
          <w:lang w:val="ro-RO" w:eastAsia="ru-RU"/>
        </w:rPr>
        <w:t>âte 6 tone de două ori pe lună.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Termenul de valabilitate a contractului:</w:t>
      </w:r>
      <w:r>
        <w:rPr>
          <w:rFonts w:hint="default"/>
          <w:b/>
          <w:lang w:val="ro-RO" w:eastAsia="ru-RU"/>
        </w:rPr>
        <w:t xml:space="preserve">  </w:t>
      </w:r>
      <w:r>
        <w:rPr>
          <w:rFonts w:hint="default"/>
          <w:b/>
          <w:u w:val="single"/>
          <w:lang w:val="ro-RO" w:eastAsia="ru-RU"/>
        </w:rPr>
        <w:t>31.12.202</w:t>
      </w:r>
      <w:r>
        <w:rPr>
          <w:rFonts w:hint="default"/>
          <w:b/>
          <w:u w:val="single"/>
          <w:lang w:val="en-US" w:eastAsia="ru-RU"/>
        </w:rPr>
        <w:t>4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Contract de achiziție rezervat atelierelor protejate sau că acesta poate fi executat numai în cadrul unor programe de angajare protejată (după caz): ____</w:t>
      </w:r>
      <w:r>
        <w:rPr>
          <w:rFonts w:hint="default"/>
          <w:b/>
          <w:u w:val="single"/>
          <w:lang w:val="ro-RO" w:eastAsia="ru-RU"/>
        </w:rPr>
        <w:t>Nu</w:t>
      </w:r>
      <w:r>
        <w:rPr>
          <w:b/>
          <w:lang w:val="it-IT" w:eastAsia="ru-RU"/>
        </w:rPr>
        <w:t>_______</w:t>
      </w:r>
    </w:p>
    <w:p>
      <w:pPr>
        <w:shd w:val="clear" w:color="auto" w:fill="FFFFFF" w:themeFill="background1"/>
        <w:tabs>
          <w:tab w:val="right" w:pos="426"/>
        </w:tabs>
        <w:ind w:firstLine="6100" w:firstLineChars="3050"/>
        <w:contextualSpacing/>
        <w:rPr>
          <w:sz w:val="20"/>
          <w:lang w:val="ru-RU" w:eastAsia="ru-RU"/>
        </w:rPr>
      </w:pPr>
      <w:r>
        <w:rPr>
          <w:sz w:val="20"/>
          <w:lang w:eastAsia="ru-RU"/>
        </w:rPr>
        <w:t xml:space="preserve">  </w:t>
      </w:r>
      <w:r>
        <w:rPr>
          <w:sz w:val="20"/>
          <w:lang w:val="ru-RU" w:eastAsia="ru-RU"/>
        </w:rPr>
        <w:t>(indicați</w:t>
      </w:r>
      <w:r>
        <w:rPr>
          <w:sz w:val="20"/>
          <w:lang w:eastAsia="ru-RU"/>
        </w:rPr>
        <w:t xml:space="preserve"> </w:t>
      </w:r>
      <w:r>
        <w:rPr>
          <w:sz w:val="20"/>
          <w:lang w:val="ru-RU" w:eastAsia="ru-RU"/>
        </w:rPr>
        <w:t>da</w:t>
      </w:r>
      <w:r>
        <w:rPr>
          <w:sz w:val="20"/>
          <w:lang w:eastAsia="ru-RU"/>
        </w:rPr>
        <w:t xml:space="preserve"> </w:t>
      </w:r>
      <w:r>
        <w:rPr>
          <w:sz w:val="20"/>
          <w:lang w:val="ru-RU" w:eastAsia="ru-RU"/>
        </w:rPr>
        <w:t>sau</w:t>
      </w:r>
      <w:r>
        <w:rPr>
          <w:sz w:val="20"/>
          <w:lang w:eastAsia="ru-RU"/>
        </w:rPr>
        <w:t xml:space="preserve"> </w:t>
      </w:r>
      <w:r>
        <w:rPr>
          <w:sz w:val="20"/>
          <w:lang w:val="ru-RU" w:eastAsia="ru-RU"/>
        </w:rPr>
        <w:t>nu)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Prestarea serviciului este rezervată unei anumite profesii în temeiul unor legi sau al unor acte administrative (după caz): </w:t>
      </w:r>
      <w:r>
        <w:rPr>
          <w:rFonts w:hint="default"/>
          <w:b/>
          <w:u w:val="single"/>
          <w:lang w:val="ro-RO" w:eastAsia="ru-RU"/>
        </w:rPr>
        <w:t>Nu se aplică.</w:t>
      </w:r>
    </w:p>
    <w:p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>
        <w:rPr>
          <w:sz w:val="20"/>
          <w:lang w:val="en-US" w:eastAsia="ru-RU"/>
        </w:rPr>
        <w:t>(se menționează respectivele acte cu putere de lege și acte administrative)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2715"/>
        <w:gridCol w:w="5025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Criteriile</w:t>
            </w:r>
            <w:r>
              <w:rPr>
                <w:rFonts w:hint="default"/>
                <w:b/>
                <w:iCs/>
                <w:sz w:val="20"/>
                <w:szCs w:val="20"/>
                <w:lang w:val="ro-RO" w:eastAsia="ru-RU"/>
              </w:rPr>
              <w:t>/cerințele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de calificare și de selecție</w:t>
            </w:r>
          </w:p>
        </w:tc>
        <w:tc>
          <w:tcPr>
            <w:tcW w:w="502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br w:type="textWrapping"/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Obligativitatea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1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Cererea de participare</w:t>
            </w:r>
          </w:p>
        </w:tc>
        <w:tc>
          <w:tcPr>
            <w:tcW w:w="502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Conform anexei nr.7 la ordinul MF nr.115 din 15.09.2021, confirmată prin aplicarea semnăturii electronică.</w:t>
            </w:r>
          </w:p>
        </w:tc>
        <w:tc>
          <w:tcPr>
            <w:tcW w:w="162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2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Declarația privind valabilitatea ofertei</w:t>
            </w:r>
          </w:p>
        </w:tc>
        <w:tc>
          <w:tcPr>
            <w:tcW w:w="502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Conform anexei nr.8 la ordinul MF nr.115 din 15.09.2021, confirmată prin aplicarea semnăturii electronică.</w:t>
            </w:r>
          </w:p>
        </w:tc>
        <w:tc>
          <w:tcPr>
            <w:tcW w:w="1620" w:type="dxa"/>
            <w:shd w:val="clear" w:color="auto" w:fill="auto"/>
          </w:tcPr>
          <w:p>
            <w:pPr>
              <w:shd w:val="clear" w:color="auto" w:fill="FFFFFF" w:themeFill="background1"/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3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Garanția de bună execuție a contractului - 5%</w:t>
            </w:r>
          </w:p>
        </w:tc>
        <w:tc>
          <w:tcPr>
            <w:tcW w:w="502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Conform anexei nr.10 la ordinul MF nr.115 din 15.09.2021, confirmată prin aplicarea semnăturii electronică, la data semnării contractului.</w:t>
            </w:r>
          </w:p>
        </w:tc>
        <w:tc>
          <w:tcPr>
            <w:tcW w:w="1620" w:type="dxa"/>
            <w:shd w:val="clear" w:color="auto" w:fill="auto"/>
          </w:tcPr>
          <w:p>
            <w:pPr>
              <w:shd w:val="clear" w:color="auto" w:fill="FFFFFF" w:themeFill="background1"/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4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Declarație privind lista principalelor livrări/prestări efectuate în ultimii 3 ani de activitate</w:t>
            </w:r>
          </w:p>
        </w:tc>
        <w:tc>
          <w:tcPr>
            <w:tcW w:w="5025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Conform anexei nr.12 la ordinul MF nr.115 din 15.09.2021, confirmată prin aplicarea semnăturii electronică.</w:t>
            </w:r>
          </w:p>
        </w:tc>
        <w:tc>
          <w:tcPr>
            <w:tcW w:w="1620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spacing w:before="120" w:after="120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5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Specificații tehnice</w:t>
            </w:r>
          </w:p>
        </w:tc>
        <w:tc>
          <w:tcPr>
            <w:tcW w:w="5025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Conform anexei nr.22 la ordinul MF nr.115 din 15.09.2021, confirmată prin aplicarea semnăturii electronică.</w:t>
            </w:r>
          </w:p>
        </w:tc>
        <w:tc>
          <w:tcPr>
            <w:tcW w:w="1620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spacing w:before="120" w:after="120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6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Specificații de preț</w:t>
            </w:r>
          </w:p>
        </w:tc>
        <w:tc>
          <w:tcPr>
            <w:tcW w:w="5025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Conform anexei nr.23 la ordinul MF nr.115 din 15.09.2021, confirmată prin aplicarea semnăturii electronică.</w:t>
            </w:r>
          </w:p>
        </w:tc>
        <w:tc>
          <w:tcPr>
            <w:tcW w:w="1620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spacing w:before="120" w:after="120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7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Formularul DUAE</w:t>
            </w:r>
          </w:p>
        </w:tc>
        <w:tc>
          <w:tcPr>
            <w:tcW w:w="5025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Formularul DUAE completat, confirmat  prin aplicarea semnăturii electronică.</w:t>
            </w:r>
          </w:p>
        </w:tc>
        <w:tc>
          <w:tcPr>
            <w:tcW w:w="1620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spacing w:before="120" w:after="120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8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Dovada înregistrării drept persoană juridică</w:t>
            </w:r>
          </w:p>
        </w:tc>
        <w:tc>
          <w:tcPr>
            <w:tcW w:w="5025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 xml:space="preserve">Certificat de înregistrare a întreprinderii - copie confirmată prin aplicarea semnăturii electronică.  </w:t>
            </w:r>
          </w:p>
        </w:tc>
        <w:tc>
          <w:tcPr>
            <w:tcW w:w="1620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spacing w:before="120" w:after="120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9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Certificatul de conformitate (sau actul ce confirmă calitatea bunurilor de procedură)</w:t>
            </w:r>
          </w:p>
        </w:tc>
        <w:tc>
          <w:tcPr>
            <w:tcW w:w="5025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 xml:space="preserve">Copie confirmată prin aplicarea semnăturii electronică.  </w:t>
            </w:r>
          </w:p>
        </w:tc>
        <w:tc>
          <w:tcPr>
            <w:tcW w:w="1620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spacing w:before="120" w:after="120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10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  <w:t>Rechizitele bancare</w:t>
            </w:r>
          </w:p>
        </w:tc>
        <w:tc>
          <w:tcPr>
            <w:tcW w:w="5025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  <w:t>Originalul confirmat  prin aplicarea semnăturii electronică.</w:t>
            </w:r>
          </w:p>
        </w:tc>
        <w:tc>
          <w:tcPr>
            <w:tcW w:w="1620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spacing w:before="120" w:after="120"/>
              <w:rPr>
                <w:rFonts w:hint="default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11</w:t>
            </w:r>
          </w:p>
        </w:tc>
        <w:tc>
          <w:tcPr>
            <w:tcW w:w="2715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left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Raportul de încercări</w:t>
            </w:r>
          </w:p>
        </w:tc>
        <w:tc>
          <w:tcPr>
            <w:tcW w:w="5025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Copie - eliberat de Laboratorul de biocombustibil solizi sau de altă autoritate națională acreditată, confirmată prin aplicarea semnăturii electronică.</w:t>
            </w:r>
          </w:p>
        </w:tc>
        <w:tc>
          <w:tcPr>
            <w:tcW w:w="1620" w:type="dxa"/>
            <w:shd w:val="clear" w:color="auto" w:fill="auto"/>
            <w:vAlign w:val="top"/>
          </w:tcPr>
          <w:p>
            <w:pPr>
              <w:shd w:val="clear" w:color="auto" w:fill="FFFFFF" w:themeFill="background1"/>
              <w:spacing w:before="120" w:after="120"/>
              <w:rPr>
                <w:rFonts w:hint="default"/>
                <w:iCs/>
                <w:sz w:val="20"/>
                <w:szCs w:val="20"/>
                <w:lang w:val="ro-RO" w:eastAsia="ru-RU"/>
              </w:rPr>
            </w:pPr>
            <w:r>
              <w:rPr>
                <w:rFonts w:hint="default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Garanția pentru ofertă</w:t>
      </w:r>
      <w:r>
        <w:rPr>
          <w:rFonts w:hint="default"/>
          <w:b/>
          <w:lang w:val="ro-RO" w:eastAsia="ru-RU"/>
        </w:rPr>
        <w:t>:</w:t>
      </w:r>
      <w:r>
        <w:rPr>
          <w:b/>
          <w:lang w:val="it-IT" w:eastAsia="ru-RU"/>
        </w:rPr>
        <w:t>_</w:t>
      </w:r>
      <w:r>
        <w:rPr>
          <w:rFonts w:hint="default"/>
          <w:b/>
          <w:color w:val="000000" w:themeColor="text1"/>
          <w:u w:val="single"/>
          <w:lang w:val="ro-RO" w:eastAsia="ru-RU"/>
          <w14:textFill>
            <w14:solidFill>
              <w14:schemeClr w14:val="tx1"/>
            </w14:solidFill>
          </w14:textFill>
        </w:rPr>
        <w:t>nu se aplică.</w:t>
      </w:r>
    </w:p>
    <w:p>
      <w:pPr>
        <w:pStyle w:val="8"/>
        <w:numPr>
          <w:ilvl w:val="0"/>
          <w:numId w:val="2"/>
        </w:numPr>
        <w:tabs>
          <w:tab w:val="clear" w:pos="1134"/>
        </w:tabs>
        <w:ind w:left="426" w:hanging="426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Garanția de bună execuție a contractului, </w:t>
      </w:r>
      <w:r>
        <w:rPr>
          <w:rFonts w:hint="default"/>
          <w:b/>
          <w:u w:val="single"/>
          <w:lang w:val="ro-RO" w:eastAsia="ru-RU"/>
        </w:rPr>
        <w:t>la data semnării contractului, c</w:t>
      </w:r>
      <w:r>
        <w:rPr>
          <w:rFonts w:hint="default"/>
          <w:b/>
          <w:bCs/>
          <w:iCs/>
          <w:sz w:val="24"/>
          <w:szCs w:val="24"/>
          <w:u w:val="single"/>
          <w:lang w:val="ro-RO" w:eastAsia="ru-RU"/>
        </w:rPr>
        <w:t>onform anexei nr.10 la ordinul MF nr.115 din 15.09.2021, confirmată prin aplicarea semnăturii electronică</w:t>
      </w:r>
      <w:r>
        <w:rPr>
          <w:b/>
          <w:lang w:val="it-IT" w:eastAsia="ru-RU"/>
        </w:rPr>
        <w:t>, cuantumul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/>
          <w:u w:val="single"/>
          <w:lang w:val="ro-RO" w:eastAsia="ru-RU"/>
        </w:rPr>
        <w:t>5%</w:t>
      </w:r>
      <w:r>
        <w:rPr>
          <w:b/>
          <w:lang w:val="it-IT" w:eastAsia="ru-RU"/>
        </w:rPr>
        <w:t>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Motivul recurgerii la procedura accelerată (în cazul licitației deschise, restrânse și a </w:t>
      </w:r>
      <w:r>
        <w:rPr>
          <w:rFonts w:hint="default"/>
          <w:b/>
          <w:lang w:val="ro-RO" w:eastAsia="ru-RU"/>
        </w:rPr>
        <w:t xml:space="preserve"> </w:t>
      </w:r>
      <w:r>
        <w:rPr>
          <w:b/>
          <w:lang w:val="it-IT" w:eastAsia="ru-RU"/>
        </w:rPr>
        <w:t>procedurii negociate), după caz</w:t>
      </w:r>
      <w:r>
        <w:rPr>
          <w:rFonts w:hint="default"/>
          <w:b/>
          <w:u w:val="none"/>
          <w:lang w:val="ro-RO" w:eastAsia="ru-RU"/>
        </w:rPr>
        <w:t xml:space="preserve">: </w:t>
      </w:r>
      <w:r>
        <w:rPr>
          <w:rFonts w:hint="default"/>
          <w:b/>
          <w:u w:val="single"/>
          <w:lang w:val="ro-RO" w:eastAsia="ru-RU"/>
        </w:rPr>
        <w:t xml:space="preserve"> nu se aplică.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80" w:leftChars="0" w:hanging="480" w:firstLineChars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hint="default"/>
          <w:b/>
          <w:u w:val="single"/>
          <w:lang w:val="ro-RO" w:eastAsia="ru-RU"/>
        </w:rPr>
        <w:t xml:space="preserve"> licitație electronică.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480" w:leftChars="0" w:hanging="480" w:hangingChars="20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Condiții speciale de care depinde îndeplinirea contractului 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 xml:space="preserve">): </w:t>
      </w:r>
      <w:r>
        <w:rPr>
          <w:rFonts w:hint="default"/>
          <w:b/>
          <w:u w:val="single"/>
          <w:lang w:val="ro-RO" w:eastAsia="ru-RU"/>
        </w:rPr>
        <w:t>Operatorii economici participanți vor include în preț cheltuielile de transport și descărcare.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1" w:name="_Hlk71621175"/>
      <w:r>
        <w:rPr>
          <w:b/>
          <w:lang w:val="it-IT" w:eastAsia="ru-RU"/>
        </w:rPr>
        <w:t>Ofertele se prezintă în valuta</w:t>
      </w:r>
      <w:bookmarkEnd w:id="1"/>
      <w:r>
        <w:rPr>
          <w:rFonts w:hint="default"/>
          <w:b/>
          <w:lang w:val="ro-RO" w:eastAsia="ru-RU"/>
        </w:rPr>
        <w:t xml:space="preserve">: </w:t>
      </w:r>
      <w:r>
        <w:rPr>
          <w:rFonts w:hint="default"/>
          <w:b/>
          <w:u w:val="single"/>
          <w:lang w:val="ro-RO" w:eastAsia="ru-RU"/>
        </w:rPr>
        <w:t>MDL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Criteriul de evaluare aplicat pentru atribuirea contractului: </w:t>
      </w:r>
      <w:r>
        <w:rPr>
          <w:rFonts w:hint="default"/>
          <w:b/>
          <w:u w:val="single"/>
          <w:lang w:val="ro-RO" w:eastAsia="ru-RU"/>
        </w:rPr>
        <w:t>Prețul cel mai scăzut.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rFonts w:hint="default"/>
          <w:b/>
          <w:u w:val="single"/>
          <w:lang w:val="ro-RO" w:eastAsia="ru-RU"/>
        </w:rPr>
        <w:t xml:space="preserve"> nu se aplică.</w:t>
      </w:r>
    </w:p>
    <w:p>
      <w:pPr>
        <w:tabs>
          <w:tab w:val="right" w:pos="426"/>
        </w:tabs>
        <w:spacing w:before="120"/>
        <w:ind w:left="360"/>
        <w:rPr>
          <w:b/>
          <w:lang w:val="it-IT" w:eastAsia="ru-RU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7248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hint="default"/>
                <w:iCs/>
                <w:lang w:val="ro-RO" w:eastAsia="ru-RU"/>
              </w:rPr>
            </w:pPr>
            <w:r>
              <w:rPr>
                <w:rFonts w:hint="default"/>
                <w:iCs/>
                <w:lang w:val="ro-RO" w:eastAsia="ru-RU"/>
              </w:rPr>
              <w:t>-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Termenul limită de depunere/deschidere a ofertelor:</w:t>
      </w:r>
    </w:p>
    <w:p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eastAsia="ru-RU"/>
        </w:rPr>
        <w:t>conform SIA RSAP /p</w:t>
      </w:r>
      <w:r>
        <w:rPr>
          <w:b/>
          <w:lang w:val="en-US" w:eastAsia="ru-RU"/>
        </w:rPr>
        <w:t>ână</w:t>
      </w:r>
      <w:r>
        <w:rPr>
          <w:b/>
          <w:lang w:eastAsia="ru-RU"/>
        </w:rPr>
        <w:t xml:space="preserve"> </w:t>
      </w:r>
      <w:r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>[ora</w:t>
      </w:r>
      <w:r>
        <w:rPr>
          <w:b/>
          <w:i/>
          <w:lang w:eastAsia="ru-RU"/>
        </w:rPr>
        <w:t xml:space="preserve"> </w:t>
      </w:r>
      <w:r>
        <w:rPr>
          <w:b/>
          <w:i/>
          <w:lang w:val="en-US" w:eastAsia="ru-RU"/>
        </w:rPr>
        <w:t>exactă]</w:t>
      </w:r>
      <w:r>
        <w:rPr>
          <w:rFonts w:hint="default"/>
          <w:b/>
          <w:i/>
          <w:lang w:val="ro-RO" w:eastAsia="ru-RU"/>
        </w:rPr>
        <w:t xml:space="preserve"> </w:t>
      </w:r>
      <w:r>
        <w:rPr>
          <w:rFonts w:hint="default"/>
          <w:b/>
          <w:u w:val="single"/>
          <w:lang w:val="ro-RO" w:eastAsia="ru-RU"/>
        </w:rPr>
        <w:t>conform SIA RSAP.</w:t>
      </w:r>
    </w:p>
    <w:p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u-RU" w:eastAsia="ru-RU"/>
        </w:rPr>
      </w:pPr>
      <w:r>
        <w:rPr>
          <w:b/>
          <w:lang w:val="ru-RU" w:eastAsia="ru-RU"/>
        </w:rPr>
        <w:t xml:space="preserve">pe: </w:t>
      </w:r>
      <w:r>
        <w:rPr>
          <w:b/>
          <w:i/>
          <w:lang w:val="ru-RU" w:eastAsia="ru-RU"/>
        </w:rPr>
        <w:t>[data]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/>
          <w:u w:val="single"/>
          <w:lang w:val="ro-RO" w:eastAsia="ru-RU"/>
        </w:rPr>
        <w:t>conform SIA RSAP.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Adresa la care trebuie transmise ofertele sau cererile de participare: </w:t>
      </w:r>
    </w:p>
    <w:p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Termenul de valabilitate a ofertelor: </w:t>
      </w:r>
      <w:r>
        <w:rPr>
          <w:rFonts w:hint="default"/>
          <w:b/>
          <w:u w:val="single"/>
          <w:lang w:val="ro-RO" w:eastAsia="ru-RU"/>
        </w:rPr>
        <w:t>45 zile</w:t>
      </w:r>
    </w:p>
    <w:p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r>
        <w:rPr>
          <w:b/>
          <w:lang w:val="ru-RU" w:eastAsia="ru-RU"/>
        </w:rPr>
        <w:t>Locul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deschiderii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 xml:space="preserve">ofertelor: </w:t>
      </w:r>
      <w:r>
        <w:rPr>
          <w:rFonts w:hint="default"/>
          <w:b/>
          <w:u w:val="single"/>
          <w:lang w:val="ro-RO" w:eastAsia="ru-RU"/>
        </w:rPr>
        <w:t>SIA RSAP</w:t>
      </w:r>
    </w:p>
    <w:p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</w:t>
      </w:r>
    </w:p>
    <w:p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 xml:space="preserve">Ofertele întârziate vor fi respinse. 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Persoanele autorizate să asiste la deschiderea ofertelor: </w:t>
      </w:r>
      <w:r>
        <w:rPr>
          <w:b/>
          <w:lang w:val="it-IT" w:eastAsia="ru-RU"/>
        </w:rPr>
        <w:br w:type="textWrapping"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Limba sau limbile în care trebuie redactate ofertele sau cererile de participare:</w:t>
      </w:r>
      <w:r>
        <w:rPr>
          <w:rFonts w:hint="default"/>
          <w:b/>
          <w:u w:val="single"/>
          <w:lang w:val="ro-RO" w:eastAsia="ru-RU"/>
        </w:rPr>
        <w:t xml:space="preserve"> limba de stat.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Respectivul contract se referă la un proiect și/sau program finanțat din fonduri ale Uniunii Europene: </w:t>
      </w:r>
      <w:r>
        <w:rPr>
          <w:rFonts w:hint="default"/>
          <w:b/>
          <w:u w:val="single"/>
          <w:lang w:val="ro-RO" w:eastAsia="ru-RU"/>
        </w:rPr>
        <w:t>nu se aplică.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Denumirea și adresa organismului competent de soluționare a contestațiilor: 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Agenția Națională pentru Soluționarea Contestațiilor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Adresa: mun. Chișinău, bd. Ștefan cel Mare și Sfânt nr.124 (et.4), MD 2001;</w:t>
      </w:r>
    </w:p>
    <w:p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>
        <w:rPr>
          <w:b/>
          <w:i/>
          <w:lang w:val="en-US" w:eastAsia="ru-RU"/>
        </w:rPr>
        <w:t>Tel/Fax/email:022-820 652, 022 820-651, contestatii@ansc.md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rFonts w:hint="default"/>
          <w:b/>
          <w:lang w:val="ro-RO" w:eastAsia="ru-RU"/>
        </w:rPr>
        <w:t xml:space="preserve"> </w:t>
      </w:r>
      <w:r>
        <w:rPr>
          <w:rFonts w:hint="default"/>
          <w:b/>
          <w:u w:val="single"/>
          <w:lang w:val="ro-RO" w:eastAsia="ru-RU"/>
        </w:rPr>
        <w:t>nu se aplică.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val="it-IT" w:eastAsia="ru-RU"/>
        </w:rPr>
        <w:t>:</w:t>
      </w:r>
      <w:r>
        <w:rPr>
          <w:rFonts w:hint="default"/>
          <w:b/>
          <w:shd w:val="clear" w:color="auto" w:fill="FFFFFF" w:themeFill="background1"/>
          <w:lang w:val="ro-RO" w:eastAsia="ru-RU"/>
        </w:rPr>
        <w:t xml:space="preserve"> </w:t>
      </w:r>
      <w:r>
        <w:rPr>
          <w:rFonts w:hint="default"/>
          <w:b/>
          <w:u w:val="single"/>
          <w:shd w:val="clear" w:color="auto" w:fill="FFFFFF" w:themeFill="background1"/>
          <w:lang w:val="ro-RO" w:eastAsia="ru-RU"/>
        </w:rPr>
        <w:t>nu se aplică.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val="it-IT" w:eastAsia="ru-RU"/>
        </w:rPr>
        <w:t>anunţ:</w:t>
      </w:r>
      <w:r>
        <w:rPr>
          <w:rFonts w:hint="default"/>
          <w:b/>
          <w:shd w:val="clear" w:color="auto" w:fill="FFFFFF" w:themeFill="background1"/>
          <w:lang w:val="ro-RO" w:eastAsia="ru-RU"/>
        </w:rPr>
        <w:t xml:space="preserve"> </w:t>
      </w:r>
      <w:r>
        <w:rPr>
          <w:rFonts w:hint="default"/>
          <w:b/>
          <w:u w:val="single"/>
          <w:shd w:val="clear" w:color="auto" w:fill="FFFFFF" w:themeFill="background1"/>
          <w:lang w:val="ro-RO" w:eastAsia="ru-RU"/>
        </w:rPr>
        <w:t>nu se aplică.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val="it-IT" w:eastAsia="ru-RU"/>
        </w:rPr>
        <w:t>e:</w:t>
      </w:r>
      <w:r>
        <w:rPr>
          <w:rFonts w:hint="default"/>
          <w:b/>
          <w:shd w:val="clear" w:color="auto" w:fill="FFFFFF" w:themeFill="background1"/>
          <w:lang w:val="ro-RO" w:eastAsia="ru-RU"/>
        </w:rPr>
        <w:t xml:space="preserve"> </w:t>
      </w:r>
      <w:r>
        <w:rPr>
          <w:rFonts w:hint="default"/>
          <w:b/>
          <w:u w:val="single"/>
          <w:shd w:val="clear" w:color="auto" w:fill="FFFFFF" w:themeFill="background1"/>
          <w:lang w:val="ro-RO" w:eastAsia="ru-RU"/>
        </w:rPr>
        <w:t>conform SIA RSAP.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În cadrul procedurii de achiziție publică se va utiliza/accepta:</w:t>
      </w:r>
    </w:p>
    <w:tbl>
      <w:tblPr>
        <w:tblStyle w:val="7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5"/>
        <w:gridCol w:w="3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Denumirea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val="ru-RU" w:eastAsia="ru-RU"/>
              </w:rPr>
              <w:t>instrumentului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>
              <w:rPr>
                <w:b/>
                <w:lang w:val="it-IT" w:eastAsia="ru-RU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Se acceptă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Sistemul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de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comenzi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Nu se acceptă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Facturarea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Se acceptă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530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Plățile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>
            <w:pPr>
              <w:shd w:val="clear" w:color="auto" w:fill="FFFFFF" w:themeFill="background1"/>
              <w:tabs>
                <w:tab w:val="right" w:pos="426"/>
              </w:tabs>
              <w:rPr>
                <w:rFonts w:hint="default"/>
                <w:lang w:val="ro-RO" w:eastAsia="ru-RU"/>
              </w:rPr>
            </w:pPr>
            <w:r>
              <w:rPr>
                <w:rFonts w:hint="default"/>
                <w:lang w:val="ro-RO" w:eastAsia="ru-RU"/>
              </w:rPr>
              <w:t>Se acceptă</w:t>
            </w:r>
          </w:p>
        </w:tc>
      </w:tr>
    </w:tbl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hint="default"/>
          <w:b/>
          <w:u w:val="single"/>
          <w:lang w:val="ro-RO" w:eastAsia="ru-RU"/>
        </w:rPr>
        <w:t>nu</w:t>
      </w:r>
    </w:p>
    <w:p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u-RU" w:eastAsia="ru-RU"/>
        </w:rPr>
      </w:pPr>
      <w:r>
        <w:rPr>
          <w:b/>
          <w:lang w:val="ru-RU" w:eastAsia="ru-RU"/>
        </w:rPr>
        <w:t>Alte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informații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 xml:space="preserve">relevante: </w:t>
      </w:r>
      <w:r>
        <w:rPr>
          <w:b/>
          <w:shd w:val="clear" w:color="auto" w:fill="FFFFFF" w:themeFill="background1"/>
          <w:lang w:val="ru-RU" w:eastAsia="ru-RU"/>
        </w:rPr>
        <w:t>___________</w:t>
      </w:r>
      <w:r>
        <w:rPr>
          <w:rFonts w:hint="default"/>
          <w:b/>
          <w:shd w:val="clear" w:color="auto" w:fill="FFFFFF" w:themeFill="background1"/>
          <w:lang w:val="ro-RO" w:eastAsia="ru-RU"/>
        </w:rPr>
        <w:t>-</w:t>
      </w:r>
      <w:r>
        <w:rPr>
          <w:b/>
          <w:shd w:val="clear" w:color="auto" w:fill="FFFFFF" w:themeFill="background1"/>
          <w:lang w:val="ru-RU" w:eastAsia="ru-RU"/>
        </w:rPr>
        <w:t>___________________________________</w:t>
      </w:r>
    </w:p>
    <w:p>
      <w:pPr>
        <w:shd w:val="clear" w:color="auto" w:fill="FFFFFF" w:themeFill="background1"/>
        <w:spacing w:before="120" w:after="120"/>
        <w:rPr>
          <w:b/>
          <w:lang w:val="ru-RU" w:eastAsia="ru-RU"/>
        </w:rPr>
      </w:pP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val="it-IT"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>
        <w:rPr>
          <w:b/>
        </w:rPr>
        <w:t>.</w:t>
      </w:r>
    </w:p>
    <w:p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/>
    <w:sectPr>
      <w:pgSz w:w="11906" w:h="16838"/>
      <w:pgMar w:top="1440" w:right="746" w:bottom="1440" w:left="13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PMingLiU">
    <w:altName w:val="Microsoft JhengHei UI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8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404F8"/>
    <w:rsid w:val="051430C8"/>
    <w:rsid w:val="067B0091"/>
    <w:rsid w:val="06BB323E"/>
    <w:rsid w:val="169A58F2"/>
    <w:rsid w:val="220E5C1B"/>
    <w:rsid w:val="25714529"/>
    <w:rsid w:val="28F84B4A"/>
    <w:rsid w:val="298638C2"/>
    <w:rsid w:val="2A2C7F70"/>
    <w:rsid w:val="2AA77E46"/>
    <w:rsid w:val="2C0A2B76"/>
    <w:rsid w:val="2FDE6C5E"/>
    <w:rsid w:val="2FFA1B8E"/>
    <w:rsid w:val="314B51B6"/>
    <w:rsid w:val="35276064"/>
    <w:rsid w:val="378F3FFE"/>
    <w:rsid w:val="3996223F"/>
    <w:rsid w:val="3EA6557E"/>
    <w:rsid w:val="420C1816"/>
    <w:rsid w:val="4D5F65A9"/>
    <w:rsid w:val="50CE55D8"/>
    <w:rsid w:val="52EE5872"/>
    <w:rsid w:val="53E40575"/>
    <w:rsid w:val="56ED4454"/>
    <w:rsid w:val="5B5D7F05"/>
    <w:rsid w:val="5EAB73FC"/>
    <w:rsid w:val="602D2155"/>
    <w:rsid w:val="60695F4D"/>
    <w:rsid w:val="625969FA"/>
    <w:rsid w:val="6ABE194C"/>
    <w:rsid w:val="6DBF5774"/>
    <w:rsid w:val="6E1A1331"/>
    <w:rsid w:val="6E49116B"/>
    <w:rsid w:val="6EBD0908"/>
    <w:rsid w:val="6EC00C41"/>
    <w:rsid w:val="723C307A"/>
    <w:rsid w:val="7D44147C"/>
    <w:rsid w:val="7D6F53D8"/>
    <w:rsid w:val="7DE065ED"/>
    <w:rsid w:val="7DFB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qFormat/>
    <w:uiPriority w:val="0"/>
    <w:pPr>
      <w:spacing w:before="0" w:beforeAutospacing="1" w:after="0" w:afterAutospacing="1" w:line="276" w:lineRule="auto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customStyle="1" w:styleId="6">
    <w:name w:val="Style3"/>
    <w:basedOn w:val="2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table" w:customStyle="1" w:styleId="7">
    <w:name w:val="Griglia tabella2"/>
    <w:basedOn w:val="4"/>
    <w:qFormat/>
    <w:uiPriority w:val="39"/>
    <w:pPr>
      <w:spacing w:after="0" w:line="240" w:lineRule="auto"/>
    </w:pPr>
    <w:rPr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86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2023-07-21T08:16:00Z</dcterms:created>
  <dc:creator>Admin</dc:creator>
  <cp:lastModifiedBy>Angela Stolearciuc</cp:lastModifiedBy>
  <cp:lastPrinted>2024-03-20T06:44:00Z</cp:lastPrinted>
  <dcterms:modified xsi:type="dcterms:W3CDTF">2024-03-21T07:49:26Z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7D32DC5505C7470BBBCC62ABC920EA5E_13</vt:lpwstr>
  </property>
</Properties>
</file>