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b/>
          <w:sz w:val="24"/>
          <w:szCs w:val="24"/>
          <w:shd w:val="clear" w:color="auto" w:fill="FFFF00"/>
          <w:lang w:val="en-US"/>
        </w:rPr>
        <w:t>Licita</w:t>
      </w:r>
      <w:r>
        <w:rPr>
          <w:b/>
          <w:sz w:val="24"/>
          <w:szCs w:val="24"/>
          <w:shd w:val="clear" w:color="auto" w:fill="FFFF00"/>
          <w:lang w:val="ro-RO"/>
        </w:rPr>
        <w:t>ție Publică</w:t>
      </w:r>
    </w:p>
    <w:p>
      <w:pPr>
        <w:numPr>
          <w:ilvl w:val="0"/>
          <w:numId w:val="0"/>
        </w:numPr>
        <w:spacing w:before="120"/>
        <w:ind w:leftChars="0"/>
        <w:rPr>
          <w:rFonts w:hint="default" w:cs="Times New Roman"/>
          <w:b/>
          <w:bCs w:val="0"/>
          <w:sz w:val="22"/>
          <w:szCs w:val="22"/>
        </w:rPr>
      </w:pPr>
      <w:bookmarkStart w:id="0" w:name="_Toc449539007"/>
      <w:bookmarkStart w:id="1" w:name="_Toc392180117"/>
      <w:r>
        <w:rPr>
          <w:rFonts w:hint="default" w:cs="Times New Roman"/>
          <w:b/>
          <w:bCs w:val="0"/>
          <w:sz w:val="24"/>
          <w:szCs w:val="24"/>
        </w:rPr>
        <w:t>C</w:t>
      </w:r>
      <w:r>
        <w:rPr>
          <w:rFonts w:ascii="Times New Roman" w:hAnsi="Times New Roman" w:cs="Times New Roman"/>
          <w:b/>
          <w:bCs w:val="0"/>
          <w:sz w:val="24"/>
          <w:szCs w:val="24"/>
          <w:lang w:val="en-US"/>
        </w:rPr>
        <w:t xml:space="preserve">ontroler </w:t>
      </w:r>
      <w:r>
        <w:rPr>
          <w:rFonts w:hint="default" w:ascii="Times New Roman" w:hAnsi="Times New Roman" w:cs="Times New Roman"/>
          <w:b/>
          <w:bCs w:val="0"/>
          <w:sz w:val="24"/>
          <w:szCs w:val="24"/>
        </w:rPr>
        <w:t>specializat de dirija</w:t>
      </w:r>
      <w:r>
        <w:rPr>
          <w:rFonts w:hint="default" w:cs="Times New Roman"/>
          <w:b/>
          <w:bCs w:val="0"/>
          <w:sz w:val="24"/>
          <w:szCs w:val="24"/>
        </w:rPr>
        <w:t>r</w:t>
      </w:r>
      <w:r>
        <w:rPr>
          <w:rFonts w:hint="default" w:ascii="Times New Roman" w:hAnsi="Times New Roman" w:cs="Times New Roman"/>
          <w:b/>
          <w:bCs w:val="0"/>
          <w:sz w:val="24"/>
          <w:szCs w:val="24"/>
        </w:rPr>
        <w:t>e al iluminatului exterior</w:t>
      </w:r>
      <w:r>
        <w:rPr>
          <w:rFonts w:hint="default" w:cs="Times New Roman"/>
          <w:b/>
          <w:bCs w:val="0"/>
          <w:sz w:val="24"/>
          <w:szCs w:val="24"/>
        </w:rPr>
        <w:t xml:space="preserve">, </w:t>
      </w:r>
      <w:r>
        <w:rPr>
          <w:rFonts w:hint="default" w:eastAsia="SimSun" w:cs="Times New Roman"/>
          <w:b/>
          <w:bCs w:val="0"/>
          <w:i w:val="0"/>
          <w:color w:val="000000"/>
          <w:kern w:val="0"/>
          <w:sz w:val="24"/>
          <w:szCs w:val="24"/>
          <w:u w:val="none"/>
          <w:lang w:eastAsia="zh-CN" w:bidi="ar"/>
        </w:rPr>
        <w:t xml:space="preserve"> </w:t>
      </w:r>
      <w:r>
        <w:rPr>
          <w:rFonts w:hint="default" w:ascii="Times New Roman" w:hAnsi="Times New Roman" w:eastAsia="SimSun" w:cs="Times New Roman"/>
          <w:b/>
          <w:bCs w:val="0"/>
          <w:i w:val="0"/>
          <w:color w:val="000000"/>
          <w:kern w:val="0"/>
          <w:sz w:val="24"/>
          <w:szCs w:val="24"/>
          <w:u w:val="none"/>
          <w:lang w:val="en-US" w:eastAsia="zh-CN" w:bidi="ar"/>
        </w:rPr>
        <w:t>Cutie metalice</w:t>
      </w:r>
      <w:r>
        <w:rPr>
          <w:rFonts w:hint="default" w:eastAsia="SimSun" w:cs="Times New Roman"/>
          <w:b/>
          <w:bCs w:val="0"/>
          <w:i w:val="0"/>
          <w:color w:val="000000"/>
          <w:kern w:val="0"/>
          <w:sz w:val="24"/>
          <w:szCs w:val="24"/>
          <w:u w:val="none"/>
          <w:lang w:eastAsia="zh-CN" w:bidi="ar"/>
        </w:rPr>
        <w:t>.</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222624"/>
      <w:bookmarkStart w:id="52" w:name="_Toc392254909"/>
      <w:bookmarkStart w:id="53" w:name="_Toc392198690"/>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2599"/>
      <w:bookmarkStart w:id="57" w:name="_Toc449633091"/>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numPr>
          <w:ilvl w:val="1"/>
          <w:numId w:val="19"/>
        </w:numPr>
        <w:spacing w:before="120"/>
        <w:ind w:leftChars="0"/>
        <w:rPr>
          <w:rFonts w:hint="default" w:cs="Times New Roman"/>
          <w:b/>
          <w:bCs w:val="0"/>
          <w:sz w:val="22"/>
          <w:szCs w:val="22"/>
        </w:rPr>
      </w:pPr>
      <w:r>
        <w:rPr>
          <w:rFonts w:hint="default" w:cs="Times New Roman"/>
          <w:b/>
          <w:bCs w:val="0"/>
          <w:sz w:val="24"/>
          <w:szCs w:val="24"/>
        </w:rPr>
        <w:t>C</w:t>
      </w:r>
      <w:r>
        <w:rPr>
          <w:rFonts w:ascii="Times New Roman" w:hAnsi="Times New Roman" w:cs="Times New Roman"/>
          <w:b/>
          <w:bCs w:val="0"/>
          <w:sz w:val="24"/>
          <w:szCs w:val="24"/>
          <w:lang w:val="en-US"/>
        </w:rPr>
        <w:t xml:space="preserve">ontroler </w:t>
      </w:r>
      <w:r>
        <w:rPr>
          <w:rFonts w:hint="default" w:ascii="Times New Roman" w:hAnsi="Times New Roman" w:cs="Times New Roman"/>
          <w:b/>
          <w:bCs w:val="0"/>
          <w:sz w:val="24"/>
          <w:szCs w:val="24"/>
        </w:rPr>
        <w:t>specializat de dirija</w:t>
      </w:r>
      <w:r>
        <w:rPr>
          <w:rFonts w:hint="default" w:cs="Times New Roman"/>
          <w:b/>
          <w:bCs w:val="0"/>
          <w:sz w:val="24"/>
          <w:szCs w:val="24"/>
        </w:rPr>
        <w:t>r</w:t>
      </w:r>
      <w:r>
        <w:rPr>
          <w:rFonts w:hint="default" w:ascii="Times New Roman" w:hAnsi="Times New Roman" w:cs="Times New Roman"/>
          <w:b/>
          <w:bCs w:val="0"/>
          <w:sz w:val="24"/>
          <w:szCs w:val="24"/>
        </w:rPr>
        <w:t>e al iluminatului exterior</w:t>
      </w:r>
      <w:r>
        <w:rPr>
          <w:rFonts w:hint="default" w:cs="Times New Roman"/>
          <w:b/>
          <w:bCs w:val="0"/>
          <w:sz w:val="24"/>
          <w:szCs w:val="24"/>
        </w:rPr>
        <w:t xml:space="preserve">, </w:t>
      </w:r>
      <w:r>
        <w:rPr>
          <w:rFonts w:hint="default" w:eastAsia="SimSun" w:cs="Times New Roman"/>
          <w:b/>
          <w:bCs w:val="0"/>
          <w:i w:val="0"/>
          <w:color w:val="000000"/>
          <w:kern w:val="0"/>
          <w:sz w:val="24"/>
          <w:szCs w:val="24"/>
          <w:u w:val="none"/>
          <w:lang w:eastAsia="zh-CN" w:bidi="ar"/>
        </w:rPr>
        <w:t xml:space="preserve"> </w:t>
      </w:r>
      <w:r>
        <w:rPr>
          <w:rFonts w:hint="default" w:ascii="Times New Roman" w:hAnsi="Times New Roman" w:eastAsia="SimSun" w:cs="Times New Roman"/>
          <w:b/>
          <w:bCs w:val="0"/>
          <w:i w:val="0"/>
          <w:color w:val="000000"/>
          <w:kern w:val="0"/>
          <w:sz w:val="24"/>
          <w:szCs w:val="24"/>
          <w:u w:val="none"/>
          <w:lang w:val="en-US" w:eastAsia="zh-CN" w:bidi="ar"/>
        </w:rPr>
        <w:t>Cuti</w:t>
      </w:r>
      <w:r>
        <w:rPr>
          <w:rFonts w:hint="default" w:eastAsia="SimSun" w:cs="Times New Roman"/>
          <w:b/>
          <w:bCs w:val="0"/>
          <w:i w:val="0"/>
          <w:color w:val="000000"/>
          <w:kern w:val="0"/>
          <w:sz w:val="24"/>
          <w:szCs w:val="24"/>
          <w:u w:val="none"/>
          <w:lang w:val="en-US" w:eastAsia="zh-CN" w:bidi="ar"/>
        </w:rPr>
        <w:t>i</w:t>
      </w:r>
      <w:bookmarkStart w:id="118" w:name="_GoBack"/>
      <w:bookmarkEnd w:id="118"/>
      <w:r>
        <w:rPr>
          <w:rFonts w:hint="default" w:ascii="Times New Roman" w:hAnsi="Times New Roman" w:eastAsia="SimSun" w:cs="Times New Roman"/>
          <w:b/>
          <w:bCs w:val="0"/>
          <w:i w:val="0"/>
          <w:color w:val="000000"/>
          <w:kern w:val="0"/>
          <w:sz w:val="24"/>
          <w:szCs w:val="24"/>
          <w:u w:val="none"/>
          <w:lang w:val="en-US" w:eastAsia="zh-CN" w:bidi="ar"/>
        </w:rPr>
        <w:t xml:space="preserve"> metalice</w:t>
      </w:r>
      <w:r>
        <w:rPr>
          <w:rFonts w:hint="default" w:eastAsia="SimSun" w:cs="Times New Roman"/>
          <w:b/>
          <w:bCs w:val="0"/>
          <w:i w:val="0"/>
          <w:color w:val="000000"/>
          <w:kern w:val="0"/>
          <w:sz w:val="24"/>
          <w:szCs w:val="24"/>
          <w:u w:val="none"/>
          <w:lang w:eastAsia="zh-CN" w:bidi="ar"/>
        </w:rPr>
        <w:t>.</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numPr>
          <w:ilvl w:val="0"/>
          <w:numId w:val="0"/>
        </w:numPr>
        <w:spacing w:before="120"/>
        <w:ind w:leftChars="0"/>
        <w:rPr>
          <w:rFonts w:hint="default" w:cs="Times New Roman"/>
          <w:b/>
          <w:bCs w:val="0"/>
          <w:sz w:val="22"/>
          <w:szCs w:val="22"/>
        </w:rPr>
      </w:pPr>
      <w:bookmarkStart w:id="108" w:name="_Hlk65747910"/>
      <w:r>
        <w:rPr>
          <w:rFonts w:hint="default" w:cs="Times New Roman"/>
          <w:b/>
          <w:bCs w:val="0"/>
          <w:sz w:val="24"/>
          <w:szCs w:val="24"/>
        </w:rPr>
        <w:t>C</w:t>
      </w:r>
      <w:r>
        <w:rPr>
          <w:rFonts w:ascii="Times New Roman" w:hAnsi="Times New Roman" w:cs="Times New Roman"/>
          <w:b/>
          <w:bCs w:val="0"/>
          <w:sz w:val="24"/>
          <w:szCs w:val="24"/>
          <w:lang w:val="en-US"/>
        </w:rPr>
        <w:t xml:space="preserve">ontroler </w:t>
      </w:r>
      <w:r>
        <w:rPr>
          <w:rFonts w:hint="default" w:ascii="Times New Roman" w:hAnsi="Times New Roman" w:cs="Times New Roman"/>
          <w:b/>
          <w:bCs w:val="0"/>
          <w:sz w:val="24"/>
          <w:szCs w:val="24"/>
        </w:rPr>
        <w:t>specializat de dirija</w:t>
      </w:r>
      <w:r>
        <w:rPr>
          <w:rFonts w:hint="default" w:cs="Times New Roman"/>
          <w:b/>
          <w:bCs w:val="0"/>
          <w:sz w:val="24"/>
          <w:szCs w:val="24"/>
        </w:rPr>
        <w:t>r</w:t>
      </w:r>
      <w:r>
        <w:rPr>
          <w:rFonts w:hint="default" w:ascii="Times New Roman" w:hAnsi="Times New Roman" w:cs="Times New Roman"/>
          <w:b/>
          <w:bCs w:val="0"/>
          <w:sz w:val="24"/>
          <w:szCs w:val="24"/>
        </w:rPr>
        <w:t>e al iluminatului exterior</w:t>
      </w:r>
      <w:r>
        <w:rPr>
          <w:rFonts w:hint="default" w:cs="Times New Roman"/>
          <w:b/>
          <w:bCs w:val="0"/>
          <w:sz w:val="24"/>
          <w:szCs w:val="24"/>
        </w:rPr>
        <w:t xml:space="preserve">, </w:t>
      </w:r>
      <w:r>
        <w:rPr>
          <w:rFonts w:hint="default" w:eastAsia="SimSun" w:cs="Times New Roman"/>
          <w:b/>
          <w:bCs w:val="0"/>
          <w:i w:val="0"/>
          <w:color w:val="000000"/>
          <w:kern w:val="0"/>
          <w:sz w:val="24"/>
          <w:szCs w:val="24"/>
          <w:u w:val="none"/>
          <w:lang w:eastAsia="zh-CN" w:bidi="ar"/>
        </w:rPr>
        <w:t xml:space="preserve"> </w:t>
      </w:r>
      <w:r>
        <w:rPr>
          <w:rFonts w:hint="default" w:ascii="Times New Roman" w:hAnsi="Times New Roman" w:eastAsia="SimSun" w:cs="Times New Roman"/>
          <w:b/>
          <w:bCs w:val="0"/>
          <w:i w:val="0"/>
          <w:color w:val="000000"/>
          <w:kern w:val="0"/>
          <w:sz w:val="24"/>
          <w:szCs w:val="24"/>
          <w:u w:val="none"/>
          <w:lang w:val="en-US" w:eastAsia="zh-CN" w:bidi="ar"/>
        </w:rPr>
        <w:t>Cutie metalice</w:t>
      </w:r>
      <w:r>
        <w:rPr>
          <w:rFonts w:hint="default" w:eastAsia="SimSun" w:cs="Times New Roman"/>
          <w:b/>
          <w:bCs w:val="0"/>
          <w:i w:val="0"/>
          <w:color w:val="000000"/>
          <w:kern w:val="0"/>
          <w:sz w:val="24"/>
          <w:szCs w:val="24"/>
          <w:u w:val="none"/>
          <w:lang w:eastAsia="zh-CN" w:bidi="ar"/>
        </w:rPr>
        <w:t>.</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20"/>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20"/>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0"/>
        <w:gridCol w:w="282"/>
        <w:gridCol w:w="1904"/>
        <w:gridCol w:w="1859"/>
        <w:gridCol w:w="1085"/>
        <w:gridCol w:w="1192"/>
        <w:gridCol w:w="1056"/>
        <w:gridCol w:w="2484"/>
        <w:gridCol w:w="3012"/>
        <w:gridCol w:w="1208"/>
        <w:gridCol w:w="91"/>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7" w:type="pct"/>
          <w:trHeight w:val="397" w:hRule="atLeast"/>
        </w:trPr>
        <w:tc>
          <w:tcPr>
            <w:tcW w:w="497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7" w:type="pct"/>
          <w:trHeight w:val="397" w:hRule="atLeast"/>
        </w:trPr>
        <w:tc>
          <w:tcPr>
            <w:tcW w:w="497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2" w:type="pct"/>
            <w:gridSpan w:val="7"/>
            <w:shd w:val="clear" w:color="auto" w:fill="auto"/>
          </w:tcPr>
          <w:p/>
        </w:tc>
        <w:tc>
          <w:tcPr>
            <w:tcW w:w="2097" w:type="pct"/>
            <w:gridSpan w:val="4"/>
            <w:shd w:val="clear" w:color="auto" w:fill="auto"/>
          </w:tcPr>
          <w:p/>
        </w:tc>
      </w:tr>
      <w:tr>
        <w:tblPrEx>
          <w:tblCellMar>
            <w:top w:w="0" w:type="dxa"/>
            <w:left w:w="108" w:type="dxa"/>
            <w:bottom w:w="0" w:type="dxa"/>
            <w:right w:w="108" w:type="dxa"/>
          </w:tblCellMar>
        </w:tblPrEx>
        <w:trPr>
          <w:gridAfter w:val="1"/>
          <w:wAfter w:w="27"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335"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3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7"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numPr>
                <w:ilvl w:val="1"/>
                <w:numId w:val="21"/>
              </w:numPr>
              <w:spacing w:before="120"/>
              <w:ind w:leftChars="0"/>
              <w:rPr>
                <w:rFonts w:hint="default" w:cs="Times New Roman"/>
                <w:b w:val="0"/>
                <w:bCs w:val="0"/>
                <w:sz w:val="22"/>
                <w:szCs w:val="22"/>
              </w:rPr>
            </w:pPr>
            <w:r>
              <w:rPr>
                <w:rFonts w:hint="default" w:cs="Times New Roman"/>
                <w:b w:val="0"/>
                <w:bCs w:val="0"/>
                <w:sz w:val="22"/>
                <w:szCs w:val="22"/>
              </w:rPr>
              <w:t>C</w:t>
            </w:r>
            <w:r>
              <w:rPr>
                <w:rFonts w:ascii="Times New Roman" w:hAnsi="Times New Roman" w:cs="Times New Roman"/>
                <w:b w:val="0"/>
                <w:bCs w:val="0"/>
                <w:sz w:val="22"/>
                <w:szCs w:val="22"/>
                <w:lang w:val="en-US"/>
              </w:rPr>
              <w:t xml:space="preserve">ontroler </w:t>
            </w:r>
            <w:r>
              <w:rPr>
                <w:rFonts w:hint="default" w:ascii="Times New Roman" w:hAnsi="Times New Roman" w:cs="Times New Roman"/>
                <w:b w:val="0"/>
                <w:bCs w:val="0"/>
                <w:sz w:val="22"/>
                <w:szCs w:val="22"/>
              </w:rPr>
              <w:t>specializat de dirija</w:t>
            </w:r>
            <w:r>
              <w:rPr>
                <w:rFonts w:hint="default" w:cs="Times New Roman"/>
                <w:b w:val="0"/>
                <w:bCs w:val="0"/>
                <w:sz w:val="22"/>
                <w:szCs w:val="22"/>
              </w:rPr>
              <w:t>r</w:t>
            </w:r>
            <w:r>
              <w:rPr>
                <w:rFonts w:hint="default" w:ascii="Times New Roman" w:hAnsi="Times New Roman" w:cs="Times New Roman"/>
                <w:b w:val="0"/>
                <w:bCs w:val="0"/>
                <w:sz w:val="22"/>
                <w:szCs w:val="22"/>
              </w:rPr>
              <w:t>e al iluminatului exterior</w:t>
            </w:r>
            <w:r>
              <w:rPr>
                <w:rFonts w:hint="default" w:cs="Times New Roman"/>
                <w:b w:val="0"/>
                <w:bCs w:val="0"/>
                <w:sz w:val="22"/>
                <w:szCs w:val="22"/>
              </w:rPr>
              <w:t>.</w:t>
            </w: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numPr>
                <w:ilvl w:val="0"/>
                <w:numId w:val="0"/>
              </w:numPr>
              <w:spacing w:before="120"/>
              <w:ind w:leftChars="0"/>
              <w:rPr>
                <w:rFonts w:hint="default" w:cs="Times New Roman"/>
                <w:b w:val="0"/>
                <w:bCs w:val="0"/>
                <w:sz w:val="22"/>
                <w:szCs w:val="22"/>
              </w:rPr>
            </w:pPr>
          </w:p>
          <w:p>
            <w:pPr>
              <w:rPr>
                <w:rFonts w:hint="default"/>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imes New Roman" w:hAnsi="Times New Roman" w:cs="Times New Roman"/>
                <w:color w:val="auto"/>
                <w:sz w:val="20"/>
                <w:szCs w:val="20"/>
                <w:lang w:val="en-US"/>
              </w:rPr>
            </w:pPr>
            <w:r>
              <w:rPr>
                <w:rFonts w:hint="default" w:ascii="Times New Roman" w:hAnsi="Times New Roman" w:cs="Times New Roman"/>
                <w:color w:val="auto"/>
                <w:sz w:val="20"/>
                <w:szCs w:val="20"/>
                <w:lang w:val="en-US"/>
              </w:rPr>
              <w:t xml:space="preserve">Controler cu două ieșiri pentru controlul de la distanță a starterelor, trei intrări </w:t>
            </w:r>
            <w:r>
              <w:rPr>
                <w:rFonts w:hint="default" w:ascii="Times New Roman" w:hAnsi="Times New Roman" w:cs="Times New Roman"/>
                <w:color w:val="auto"/>
                <w:sz w:val="20"/>
                <w:szCs w:val="20"/>
              </w:rPr>
              <w:t>discrete (puncte de</w:t>
            </w:r>
            <w:r>
              <w:rPr>
                <w:rFonts w:hint="default" w:ascii="Times New Roman" w:hAnsi="Times New Roman" w:cs="Times New Roman"/>
                <w:color w:val="auto"/>
                <w:sz w:val="20"/>
                <w:szCs w:val="20"/>
                <w:lang w:val="en-US"/>
              </w:rPr>
              <w:t xml:space="preserve"> confirmare</w:t>
            </w:r>
            <w:r>
              <w:rPr>
                <w:rFonts w:hint="default" w:ascii="Times New Roman" w:hAnsi="Times New Roman" w:cs="Times New Roman"/>
                <w:color w:val="auto"/>
                <w:sz w:val="20"/>
                <w:szCs w:val="20"/>
              </w:rPr>
              <w:t>)</w:t>
            </w:r>
            <w:r>
              <w:rPr>
                <w:rFonts w:hint="default" w:ascii="Times New Roman" w:hAnsi="Times New Roman" w:cs="Times New Roman"/>
                <w:color w:val="auto"/>
                <w:sz w:val="20"/>
                <w:szCs w:val="20"/>
                <w:lang w:val="en-US"/>
              </w:rPr>
              <w:t xml:space="preserve">, ceas nevolatil, modem GSM/GPRS încorporat, memorie încorporată, interfață RS-485 (MODBUS), două intrări pentru conectarea senzorilor. </w:t>
            </w:r>
          </w:p>
          <w:p>
            <w:pPr>
              <w:jc w:val="both"/>
              <w:rPr>
                <w:rFonts w:hint="default" w:ascii="Times New Roman" w:hAnsi="Times New Roman" w:cs="Times New Roman"/>
                <w:color w:val="auto"/>
                <w:sz w:val="20"/>
                <w:szCs w:val="20"/>
              </w:rPr>
            </w:pPr>
            <w:r>
              <w:rPr>
                <w:rFonts w:hint="default" w:ascii="Times New Roman" w:hAnsi="Times New Roman" w:cs="Times New Roman"/>
                <w:color w:val="auto"/>
                <w:sz w:val="20"/>
                <w:szCs w:val="20"/>
                <w:lang w:val="en-US"/>
              </w:rPr>
              <w:t>Instalare pe șină DIN (10 module), pentru utilizare în exterior</w:t>
            </w:r>
            <w:r>
              <w:rPr>
                <w:rFonts w:hint="default" w:ascii="Times New Roman" w:hAnsi="Times New Roman" w:cs="Times New Roman"/>
                <w:color w:val="auto"/>
                <w:sz w:val="20"/>
                <w:szCs w:val="20"/>
              </w:rPr>
              <w:t xml:space="preserve"> (iluminatul stradal)</w:t>
            </w:r>
            <w:r>
              <w:rPr>
                <w:rFonts w:hint="default" w:ascii="Times New Roman" w:hAnsi="Times New Roman" w:cs="Times New Roman"/>
                <w:color w:val="auto"/>
                <w:sz w:val="20"/>
                <w:szCs w:val="20"/>
                <w:lang w:val="en-US"/>
              </w:rPr>
              <w:t xml:space="preserve">, protecție la pătrundere </w:t>
            </w:r>
            <w:r>
              <w:rPr>
                <w:rFonts w:hint="default" w:ascii="Times New Roman" w:hAnsi="Times New Roman" w:cs="Times New Roman"/>
                <w:color w:val="auto"/>
                <w:sz w:val="20"/>
                <w:szCs w:val="20"/>
              </w:rPr>
              <w:t>min.</w:t>
            </w:r>
            <w:r>
              <w:rPr>
                <w:rFonts w:hint="default" w:ascii="Times New Roman" w:hAnsi="Times New Roman" w:cs="Times New Roman"/>
                <w:color w:val="auto"/>
                <w:sz w:val="20"/>
                <w:szCs w:val="20"/>
                <w:lang w:val="en-US"/>
              </w:rPr>
              <w:t xml:space="preserve">IP 23, sursă de alimentare AC </w:t>
            </w:r>
            <w:r>
              <w:rPr>
                <w:rFonts w:hint="default" w:cs="Times New Roman"/>
                <w:color w:val="auto"/>
                <w:sz w:val="20"/>
                <w:szCs w:val="20"/>
                <w:lang w:val="en-US"/>
              </w:rPr>
              <w:t>220</w:t>
            </w:r>
            <w:r>
              <w:rPr>
                <w:rFonts w:hint="default" w:ascii="Times New Roman" w:hAnsi="Times New Roman" w:cs="Times New Roman"/>
                <w:color w:val="auto"/>
                <w:sz w:val="20"/>
                <w:szCs w:val="20"/>
                <w:lang w:val="en-US"/>
              </w:rPr>
              <w:t>-250 V</w:t>
            </w:r>
            <w:r>
              <w:rPr>
                <w:rFonts w:hint="default" w:ascii="Times New Roman" w:hAnsi="Times New Roman" w:cs="Times New Roman"/>
                <w:color w:val="auto"/>
                <w:sz w:val="20"/>
                <w:szCs w:val="20"/>
              </w:rPr>
              <w:t>.</w:t>
            </w:r>
          </w:p>
          <w:p>
            <w:pPr>
              <w:jc w:val="both"/>
              <w:rPr>
                <w:rFonts w:hint="default" w:ascii="Times New Roman" w:hAnsi="Times New Roman" w:cs="Times New Roman"/>
                <w:color w:val="auto"/>
                <w:sz w:val="20"/>
                <w:szCs w:val="20"/>
                <w:lang w:val="en-US"/>
              </w:rPr>
            </w:pPr>
            <w:r>
              <w:rPr>
                <w:rFonts w:hint="default" w:ascii="Times New Roman" w:hAnsi="Times New Roman" w:cs="Times New Roman"/>
                <w:color w:val="auto"/>
                <w:sz w:val="20"/>
                <w:szCs w:val="20"/>
                <w:lang w:val="en-US"/>
              </w:rPr>
              <w:t>Modul de extensie pentru 8 ieșiri pentru controlul de la distanță al starterelor și 16 intrări</w:t>
            </w:r>
            <w:r>
              <w:rPr>
                <w:rFonts w:hint="default" w:ascii="Times New Roman" w:hAnsi="Times New Roman" w:cs="Times New Roman"/>
                <w:color w:val="auto"/>
                <w:sz w:val="20"/>
                <w:szCs w:val="20"/>
              </w:rPr>
              <w:t xml:space="preserve"> discrete (puncte de </w:t>
            </w:r>
            <w:r>
              <w:rPr>
                <w:rFonts w:hint="default" w:ascii="Times New Roman" w:hAnsi="Times New Roman" w:cs="Times New Roman"/>
                <w:color w:val="auto"/>
                <w:sz w:val="20"/>
                <w:szCs w:val="20"/>
                <w:lang w:val="en-US"/>
              </w:rPr>
              <w:t>confirmare</w:t>
            </w:r>
            <w:r>
              <w:rPr>
                <w:rFonts w:hint="default" w:ascii="Times New Roman" w:hAnsi="Times New Roman" w:cs="Times New Roman"/>
                <w:color w:val="auto"/>
                <w:sz w:val="20"/>
                <w:szCs w:val="20"/>
              </w:rPr>
              <w:t>)</w:t>
            </w:r>
            <w:r>
              <w:rPr>
                <w:rFonts w:hint="default" w:ascii="Times New Roman" w:hAnsi="Times New Roman" w:cs="Times New Roman"/>
                <w:color w:val="auto"/>
                <w:sz w:val="20"/>
                <w:szCs w:val="20"/>
                <w:lang w:val="en-US"/>
              </w:rPr>
              <w:t>, interfață RS-485 (MODBUS). Instalare pe șină DIN (10 module), pentru utilizare în exterior</w:t>
            </w:r>
            <w:r>
              <w:rPr>
                <w:rFonts w:hint="default" w:ascii="Times New Roman" w:hAnsi="Times New Roman" w:cs="Times New Roman"/>
                <w:color w:val="auto"/>
                <w:sz w:val="20"/>
                <w:szCs w:val="20"/>
              </w:rPr>
              <w:t xml:space="preserve"> (iluminatul stradal)</w:t>
            </w:r>
            <w:r>
              <w:rPr>
                <w:rFonts w:hint="default" w:ascii="Times New Roman" w:hAnsi="Times New Roman" w:cs="Times New Roman"/>
                <w:color w:val="auto"/>
                <w:sz w:val="20"/>
                <w:szCs w:val="20"/>
                <w:lang w:val="en-US"/>
              </w:rPr>
              <w:t xml:space="preserve">, protecție la pătrundere IP 23, sursă de alimentare AC </w:t>
            </w:r>
            <w:r>
              <w:rPr>
                <w:rFonts w:hint="default" w:cs="Times New Roman"/>
                <w:color w:val="auto"/>
                <w:sz w:val="20"/>
                <w:szCs w:val="20"/>
                <w:lang w:val="en-US"/>
              </w:rPr>
              <w:t>220-0</w:t>
            </w:r>
            <w:r>
              <w:rPr>
                <w:rFonts w:hint="default" w:ascii="Times New Roman" w:hAnsi="Times New Roman" w:cs="Times New Roman"/>
                <w:color w:val="auto"/>
                <w:sz w:val="20"/>
                <w:szCs w:val="20"/>
                <w:lang w:val="en-US"/>
              </w:rPr>
              <w:t>250 V</w:t>
            </w:r>
          </w:p>
          <w:p>
            <w:pPr>
              <w:jc w:val="both"/>
              <w:rPr>
                <w:rFonts w:hint="default" w:ascii="Times New Roman" w:hAnsi="Times New Roman" w:cs="Times New Roman"/>
                <w:color w:val="auto"/>
                <w:sz w:val="20"/>
                <w:szCs w:val="20"/>
              </w:rPr>
            </w:pPr>
            <w:r>
              <w:rPr>
                <w:rFonts w:hint="default" w:ascii="Times New Roman" w:hAnsi="Times New Roman" w:cs="Times New Roman"/>
                <w:color w:val="auto"/>
                <w:sz w:val="20"/>
                <w:szCs w:val="20"/>
              </w:rPr>
              <w:t>Precum și c</w:t>
            </w:r>
            <w:r>
              <w:rPr>
                <w:rFonts w:hint="default" w:ascii="Times New Roman" w:hAnsi="Times New Roman" w:cs="Times New Roman"/>
                <w:color w:val="auto"/>
                <w:sz w:val="20"/>
                <w:szCs w:val="20"/>
                <w:lang w:val="en-US"/>
              </w:rPr>
              <w:t xml:space="preserve">onform </w:t>
            </w:r>
            <w:r>
              <w:rPr>
                <w:rFonts w:hint="default" w:ascii="Times New Roman" w:hAnsi="Times New Roman" w:cs="Times New Roman"/>
                <w:color w:val="auto"/>
                <w:sz w:val="20"/>
                <w:szCs w:val="20"/>
              </w:rPr>
              <w:t>cerinților suplimentar</w:t>
            </w:r>
            <w:r>
              <w:rPr>
                <w:rFonts w:hint="default" w:cs="Times New Roman"/>
                <w:color w:val="auto"/>
                <w:sz w:val="20"/>
                <w:szCs w:val="20"/>
              </w:rPr>
              <w:t xml:space="preserve"> </w:t>
            </w:r>
            <w:r>
              <w:rPr>
                <w:rFonts w:hint="default" w:ascii="Times New Roman" w:hAnsi="Times New Roman" w:cs="Times New Roman"/>
                <w:color w:val="auto"/>
                <w:sz w:val="20"/>
                <w:szCs w:val="20"/>
              </w:rPr>
              <w:t>discifrate</w:t>
            </w:r>
            <w:r>
              <w:rPr>
                <w:rFonts w:hint="default" w:cs="Times New Roman"/>
                <w:color w:val="auto"/>
                <w:sz w:val="20"/>
                <w:szCs w:val="20"/>
              </w:rPr>
              <w:t xml:space="preserve"> prin Anunț de participare</w:t>
            </w:r>
          </w:p>
          <w:p>
            <w:pPr>
              <w:rPr>
                <w:rFonts w:hint="default" w:ascii="Times New Roman" w:hAnsi="Times New Roman" w:cs="Times New Roman"/>
                <w:color w:val="auto"/>
                <w:sz w:val="20"/>
                <w:szCs w:val="20"/>
              </w:rPr>
            </w:pPr>
          </w:p>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rFonts w:hint="default"/>
                <w:b/>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r>
              <w:rPr>
                <w:rFonts w:hint="default" w:eastAsia="SimSun" w:cs="Times New Roman"/>
                <w:i w:val="0"/>
                <w:color w:val="000000"/>
                <w:kern w:val="0"/>
                <w:sz w:val="24"/>
                <w:szCs w:val="24"/>
                <w:u w:val="none"/>
                <w:lang w:eastAsia="zh-CN" w:bidi="ar"/>
              </w:rPr>
              <w:t xml:space="preserve">2.1. </w:t>
            </w:r>
            <w:r>
              <w:rPr>
                <w:rFonts w:hint="default" w:ascii="Times New Roman" w:hAnsi="Times New Roman" w:eastAsia="SimSun" w:cs="Times New Roman"/>
                <w:i w:val="0"/>
                <w:color w:val="000000"/>
                <w:kern w:val="0"/>
                <w:sz w:val="24"/>
                <w:szCs w:val="24"/>
                <w:u w:val="none"/>
                <w:lang w:val="en-US" w:eastAsia="zh-CN" w:bidi="ar"/>
              </w:rPr>
              <w:t>Cutie metalice (500*400*220) IP54</w:t>
            </w: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numPr>
                <w:ilvl w:val="0"/>
                <w:numId w:val="0"/>
              </w:numPr>
              <w:spacing w:before="120"/>
              <w:ind w:leftChars="0"/>
              <w:rPr>
                <w:rFonts w:hint="default" w:ascii="Times New Roman" w:hAnsi="Times New Roman" w:eastAsia="SimSun" w:cs="Times New Roman"/>
                <w:i w:val="0"/>
                <w:color w:val="000000"/>
                <w:kern w:val="0"/>
                <w:sz w:val="24"/>
                <w:szCs w:val="24"/>
                <w:u w:val="none"/>
                <w:lang w:val="en-US" w:eastAsia="zh-CN" w:bidi="ar"/>
              </w:rPr>
            </w:pPr>
          </w:p>
          <w:p>
            <w:pPr>
              <w:rPr>
                <w:rFonts w:hint="default"/>
                <w:b/>
                <w:sz w:val="20"/>
                <w:szCs w:val="20"/>
              </w:rPr>
            </w:pPr>
            <w:r>
              <w:rPr>
                <w:rFonts w:hint="default" w:eastAsia="SimSun" w:cs="Times New Roman"/>
                <w:i w:val="0"/>
                <w:color w:val="000000"/>
                <w:kern w:val="0"/>
                <w:sz w:val="24"/>
                <w:szCs w:val="24"/>
                <w:u w:val="none"/>
                <w:lang w:eastAsia="zh-CN" w:bidi="ar"/>
              </w:rPr>
              <w:t>2.</w:t>
            </w:r>
            <w:r>
              <w:rPr>
                <w:rFonts w:hint="default" w:eastAsia="SimSun" w:cs="Times New Roman"/>
                <w:i w:val="0"/>
                <w:color w:val="000000"/>
                <w:kern w:val="0"/>
                <w:sz w:val="24"/>
                <w:szCs w:val="24"/>
                <w:u w:val="none"/>
                <w:lang w:val="ru-RU" w:eastAsia="zh-CN" w:bidi="ar"/>
              </w:rPr>
              <w:t>2</w:t>
            </w:r>
            <w:r>
              <w:rPr>
                <w:rFonts w:hint="default" w:eastAsia="SimSun" w:cs="Times New Roman"/>
                <w:i w:val="0"/>
                <w:color w:val="000000"/>
                <w:kern w:val="0"/>
                <w:sz w:val="24"/>
                <w:szCs w:val="24"/>
                <w:u w:val="none"/>
                <w:lang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Cutie metalice (</w:t>
            </w:r>
            <w:r>
              <w:rPr>
                <w:rFonts w:hint="default" w:eastAsia="SimSun" w:cs="Times New Roman"/>
                <w:i w:val="0"/>
                <w:color w:val="000000"/>
                <w:kern w:val="0"/>
                <w:sz w:val="24"/>
                <w:szCs w:val="24"/>
                <w:u w:val="none"/>
                <w:lang w:eastAsia="zh-CN" w:bidi="ar"/>
              </w:rPr>
              <w:t>25</w:t>
            </w:r>
            <w:r>
              <w:rPr>
                <w:rFonts w:hint="default" w:ascii="Times New Roman" w:hAnsi="Times New Roman" w:eastAsia="SimSun" w:cs="Times New Roman"/>
                <w:i w:val="0"/>
                <w:color w:val="000000"/>
                <w:kern w:val="0"/>
                <w:sz w:val="24"/>
                <w:szCs w:val="24"/>
                <w:u w:val="none"/>
                <w:lang w:val="en-US" w:eastAsia="zh-CN" w:bidi="ar"/>
              </w:rPr>
              <w:t>0*</w:t>
            </w:r>
            <w:r>
              <w:rPr>
                <w:rFonts w:hint="default" w:eastAsia="SimSun" w:cs="Times New Roman"/>
                <w:i w:val="0"/>
                <w:color w:val="000000"/>
                <w:kern w:val="0"/>
                <w:sz w:val="24"/>
                <w:szCs w:val="24"/>
                <w:u w:val="none"/>
                <w:lang w:eastAsia="zh-CN" w:bidi="ar"/>
              </w:rPr>
              <w:t>30</w:t>
            </w:r>
            <w:r>
              <w:rPr>
                <w:rFonts w:hint="default" w:ascii="Times New Roman" w:hAnsi="Times New Roman" w:eastAsia="SimSun" w:cs="Times New Roman"/>
                <w:i w:val="0"/>
                <w:color w:val="000000"/>
                <w:kern w:val="0"/>
                <w:sz w:val="24"/>
                <w:szCs w:val="24"/>
                <w:u w:val="none"/>
                <w:lang w:val="en-US" w:eastAsia="zh-CN" w:bidi="ar"/>
              </w:rPr>
              <w:t>0*</w:t>
            </w:r>
            <w:r>
              <w:rPr>
                <w:rFonts w:hint="default" w:eastAsia="SimSun" w:cs="Times New Roman"/>
                <w:i w:val="0"/>
                <w:color w:val="000000"/>
                <w:kern w:val="0"/>
                <w:sz w:val="24"/>
                <w:szCs w:val="24"/>
                <w:u w:val="none"/>
                <w:lang w:eastAsia="zh-CN" w:bidi="ar"/>
              </w:rPr>
              <w:t>15</w:t>
            </w:r>
            <w:r>
              <w:rPr>
                <w:rFonts w:hint="default" w:ascii="Times New Roman" w:hAnsi="Times New Roman" w:eastAsia="SimSun" w:cs="Times New Roman"/>
                <w:i w:val="0"/>
                <w:color w:val="000000"/>
                <w:kern w:val="0"/>
                <w:sz w:val="24"/>
                <w:szCs w:val="24"/>
                <w:u w:val="none"/>
                <w:lang w:val="en-US" w:eastAsia="zh-CN" w:bidi="ar"/>
              </w:rPr>
              <w:t>0) IP54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2"/>
                <w:szCs w:val="22"/>
              </w:rPr>
            </w:pPr>
            <w:r>
              <w:rPr>
                <w:rFonts w:hint="default"/>
                <w:sz w:val="22"/>
                <w:szCs w:val="22"/>
              </w:rPr>
              <w:t>Grad de protectie: IP54</w:t>
            </w:r>
          </w:p>
          <w:p>
            <w:pPr>
              <w:rPr>
                <w:rFonts w:hint="default"/>
                <w:sz w:val="22"/>
                <w:szCs w:val="22"/>
              </w:rPr>
            </w:pPr>
            <w:r>
              <w:rPr>
                <w:rFonts w:hint="default"/>
                <w:sz w:val="22"/>
                <w:szCs w:val="22"/>
              </w:rPr>
              <w:t>Grosimea metalului: 1-1,2 mm</w:t>
            </w:r>
          </w:p>
          <w:p>
            <w:pPr>
              <w:rPr>
                <w:rFonts w:hint="default"/>
                <w:sz w:val="22"/>
                <w:szCs w:val="22"/>
              </w:rPr>
            </w:pPr>
            <w:r>
              <w:rPr>
                <w:rFonts w:hint="default"/>
                <w:sz w:val="22"/>
                <w:szCs w:val="22"/>
              </w:rPr>
              <w:t>Culoare: RAL 7035</w:t>
            </w:r>
          </w:p>
          <w:p>
            <w:pPr>
              <w:rPr>
                <w:rFonts w:hint="default"/>
                <w:sz w:val="22"/>
                <w:szCs w:val="22"/>
              </w:rPr>
            </w:pPr>
            <w:r>
              <w:rPr>
                <w:rFonts w:hint="default"/>
                <w:sz w:val="22"/>
                <w:szCs w:val="22"/>
              </w:rPr>
              <w:t>Set complet: încuietoare/lacăt, 2 chei, placa de montaj zincata, garnituri de presiune</w:t>
            </w:r>
            <w:r>
              <w:rPr>
                <w:rFonts w:hint="default"/>
                <w:sz w:val="22"/>
                <w:szCs w:val="22"/>
                <w:lang w:val="ru-RU"/>
              </w:rPr>
              <w:t xml:space="preserve"> (гермоввод)</w:t>
            </w:r>
            <w:r>
              <w:rPr>
                <w:rFonts w:hint="default"/>
                <w:sz w:val="22"/>
                <w:szCs w:val="22"/>
              </w:rPr>
              <w:t>, semne  de siguranța</w:t>
            </w:r>
            <w:r>
              <w:rPr>
                <w:rFonts w:hint="default"/>
                <w:sz w:val="22"/>
                <w:szCs w:val="22"/>
                <w:lang w:val="ru-RU"/>
              </w:rPr>
              <w:t xml:space="preserve"> </w:t>
            </w:r>
            <w:r>
              <w:rPr>
                <w:rFonts w:hint="default"/>
                <w:sz w:val="22"/>
                <w:szCs w:val="22"/>
              </w:rPr>
              <w:t>electrică</w:t>
            </w:r>
          </w:p>
          <w:p>
            <w:pPr>
              <w:rPr>
                <w:rFonts w:hint="default"/>
                <w:sz w:val="22"/>
                <w:szCs w:val="22"/>
              </w:rPr>
            </w:pPr>
            <w:r>
              <w:rPr>
                <w:rFonts w:hint="default"/>
                <w:sz w:val="22"/>
                <w:szCs w:val="22"/>
              </w:rPr>
              <w:t>Dimensiuni: 500x400x220 mm</w:t>
            </w:r>
          </w:p>
          <w:p>
            <w:pPr>
              <w:rPr>
                <w:rFonts w:hint="default"/>
                <w:sz w:val="22"/>
                <w:szCs w:val="22"/>
              </w:rPr>
            </w:pPr>
            <w:r>
              <w:rPr>
                <w:rFonts w:hint="default"/>
                <w:sz w:val="22"/>
                <w:szCs w:val="22"/>
              </w:rPr>
              <w:t>Greutate: 6 kg (+/-)</w:t>
            </w:r>
          </w:p>
          <w:p>
            <w:pPr>
              <w:rPr>
                <w:rFonts w:hint="default"/>
                <w:sz w:val="22"/>
                <w:szCs w:val="22"/>
              </w:rPr>
            </w:pPr>
          </w:p>
          <w:p>
            <w:pPr>
              <w:rPr>
                <w:rFonts w:hint="default"/>
                <w:sz w:val="22"/>
                <w:szCs w:val="22"/>
              </w:rPr>
            </w:pPr>
          </w:p>
          <w:p>
            <w:pPr>
              <w:rPr>
                <w:rFonts w:hint="default"/>
                <w:sz w:val="22"/>
                <w:szCs w:val="22"/>
              </w:rPr>
            </w:pPr>
            <w:r>
              <w:rPr>
                <w:rFonts w:hint="default"/>
                <w:sz w:val="22"/>
                <w:szCs w:val="22"/>
              </w:rPr>
              <w:t>Grad de protectie: IP54</w:t>
            </w:r>
          </w:p>
          <w:p>
            <w:pPr>
              <w:rPr>
                <w:rFonts w:hint="default"/>
                <w:sz w:val="22"/>
                <w:szCs w:val="22"/>
              </w:rPr>
            </w:pPr>
            <w:r>
              <w:rPr>
                <w:rFonts w:hint="default"/>
                <w:sz w:val="22"/>
                <w:szCs w:val="22"/>
              </w:rPr>
              <w:t>Grosimea metalului: 1-1,2 mm</w:t>
            </w:r>
          </w:p>
          <w:p>
            <w:pPr>
              <w:rPr>
                <w:rFonts w:hint="default"/>
                <w:sz w:val="22"/>
                <w:szCs w:val="22"/>
              </w:rPr>
            </w:pPr>
            <w:r>
              <w:rPr>
                <w:rFonts w:hint="default"/>
                <w:sz w:val="22"/>
                <w:szCs w:val="22"/>
              </w:rPr>
              <w:t>Culoare: RAL 7035</w:t>
            </w:r>
          </w:p>
          <w:p>
            <w:pPr>
              <w:rPr>
                <w:rFonts w:hint="default"/>
                <w:sz w:val="22"/>
                <w:szCs w:val="22"/>
              </w:rPr>
            </w:pPr>
            <w:r>
              <w:rPr>
                <w:rFonts w:hint="default"/>
                <w:sz w:val="22"/>
                <w:szCs w:val="22"/>
              </w:rPr>
              <w:t>Set complet: încuietoare/lacăt, chei, placa de montaj zincata, garnituri de presiune</w:t>
            </w:r>
            <w:r>
              <w:rPr>
                <w:rFonts w:hint="default"/>
                <w:sz w:val="22"/>
                <w:szCs w:val="22"/>
                <w:lang w:val="ru-RU"/>
              </w:rPr>
              <w:t xml:space="preserve"> (гермоввод)</w:t>
            </w:r>
            <w:r>
              <w:rPr>
                <w:rFonts w:hint="default"/>
                <w:sz w:val="22"/>
                <w:szCs w:val="22"/>
              </w:rPr>
              <w:t>, semne  de siguranța</w:t>
            </w:r>
            <w:r>
              <w:rPr>
                <w:rFonts w:hint="default"/>
                <w:sz w:val="22"/>
                <w:szCs w:val="22"/>
                <w:lang w:val="ru-RU"/>
              </w:rPr>
              <w:t xml:space="preserve"> </w:t>
            </w:r>
            <w:r>
              <w:rPr>
                <w:rFonts w:hint="default"/>
                <w:sz w:val="22"/>
                <w:szCs w:val="22"/>
              </w:rPr>
              <w:t>electrică</w:t>
            </w:r>
          </w:p>
          <w:p>
            <w:pPr>
              <w:rPr>
                <w:rFonts w:hint="default"/>
                <w:sz w:val="22"/>
                <w:szCs w:val="22"/>
              </w:rPr>
            </w:pPr>
            <w:r>
              <w:rPr>
                <w:rFonts w:hint="default"/>
                <w:sz w:val="22"/>
                <w:szCs w:val="22"/>
              </w:rPr>
              <w:t>Dimensiuni: 250x300x150 mm</w:t>
            </w:r>
          </w:p>
          <w:p>
            <w:pPr>
              <w:rPr>
                <w:rFonts w:hint="default"/>
                <w:sz w:val="22"/>
                <w:szCs w:val="22"/>
              </w:rPr>
            </w:pPr>
            <w:r>
              <w:rPr>
                <w:rFonts w:hint="default"/>
                <w:sz w:val="22"/>
                <w:szCs w:val="22"/>
              </w:rPr>
              <w:t>Greutate: 3 kg (+/-)</w:t>
            </w:r>
          </w:p>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7"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0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26"/>
              <w:gridCol w:w="298"/>
              <w:gridCol w:w="2345"/>
              <w:gridCol w:w="950"/>
              <w:gridCol w:w="891"/>
              <w:gridCol w:w="1255"/>
              <w:gridCol w:w="1078"/>
              <w:gridCol w:w="1305"/>
              <w:gridCol w:w="1064"/>
              <w:gridCol w:w="53"/>
              <w:gridCol w:w="1346"/>
              <w:gridCol w:w="265"/>
              <w:gridCol w:w="60"/>
              <w:gridCol w:w="1577"/>
              <w:gridCol w:w="338"/>
              <w:gridCol w:w="41"/>
              <w:gridCol w:w="34"/>
              <w:gridCol w:w="1131"/>
              <w:gridCol w:w="22"/>
              <w:gridCol w:w="27"/>
              <w:gridCol w:w="353"/>
            </w:tblGrid>
            <w:tr>
              <w:tblPrEx>
                <w:tblCellMar>
                  <w:top w:w="0" w:type="dxa"/>
                  <w:left w:w="108" w:type="dxa"/>
                  <w:bottom w:w="0" w:type="dxa"/>
                  <w:right w:w="108" w:type="dxa"/>
                </w:tblCellMar>
              </w:tblPrEx>
              <w:trPr>
                <w:gridAfter w:val="3"/>
                <w:wAfter w:w="402" w:type="dxa"/>
                <w:trHeight w:val="697" w:hRule="atLeast"/>
              </w:trPr>
              <w:tc>
                <w:tcPr>
                  <w:tcW w:w="13951"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6"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2" w:type="dxa"/>
              </w:trPr>
              <w:tc>
                <w:tcPr>
                  <w:tcW w:w="13951"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6"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424" w:type="dxa"/>
                  <w:gridSpan w:val="2"/>
                  <w:tcBorders>
                    <w:top w:val="single" w:color="auto" w:sz="4" w:space="0"/>
                    <w:left w:val="single" w:color="auto" w:sz="4" w:space="0"/>
                    <w:bottom w:val="single" w:color="auto" w:sz="4" w:space="0"/>
                    <w:right w:val="single" w:color="auto" w:sz="4" w:space="0"/>
                  </w:tcBorders>
                </w:tcPr>
                <w:p/>
              </w:tc>
              <w:tc>
                <w:tcPr>
                  <w:tcW w:w="1413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424" w:type="dxa"/>
                  <w:gridSpan w:val="2"/>
                  <w:tcBorders>
                    <w:top w:val="single" w:color="auto" w:sz="4" w:space="0"/>
                    <w:left w:val="single" w:color="auto" w:sz="4" w:space="0"/>
                    <w:bottom w:val="single" w:color="auto" w:sz="4" w:space="0"/>
                    <w:right w:val="single" w:color="auto" w:sz="4" w:space="0"/>
                  </w:tcBorders>
                </w:tcPr>
                <w:p/>
              </w:tc>
              <w:tc>
                <w:tcPr>
                  <w:tcW w:w="1413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11" w:type="dxa"/>
                  <w:gridSpan w:val="11"/>
                  <w:shd w:val="clear" w:color="auto" w:fill="auto"/>
                </w:tcPr>
                <w:p/>
              </w:tc>
              <w:tc>
                <w:tcPr>
                  <w:tcW w:w="1902" w:type="dxa"/>
                  <w:gridSpan w:val="3"/>
                </w:tcPr>
                <w:p/>
              </w:tc>
              <w:tc>
                <w:tcPr>
                  <w:tcW w:w="1946" w:type="dxa"/>
                  <w:gridSpan w:val="7"/>
                </w:tcPr>
                <w:p/>
              </w:tc>
            </w:tr>
            <w:tr>
              <w:tblPrEx>
                <w:tblCellMar>
                  <w:top w:w="0" w:type="dxa"/>
                  <w:left w:w="108" w:type="dxa"/>
                  <w:bottom w:w="0" w:type="dxa"/>
                  <w:right w:w="108" w:type="dxa"/>
                </w:tblCellMar>
              </w:tblPrEx>
              <w:trPr>
                <w:gridAfter w:val="2"/>
                <w:wAfter w:w="380" w:type="dxa"/>
                <w:trHeight w:val="1043"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1"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55"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05"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4"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87"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0" w:type="dxa"/>
                <w:trHeight w:val="283"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4"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87"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p>
              </w:tc>
              <w:tc>
                <w:tcPr>
                  <w:tcW w:w="2016" w:type="dxa"/>
                  <w:gridSpan w:val="4"/>
                  <w:tcBorders>
                    <w:top w:val="single" w:color="auto" w:sz="4" w:space="0"/>
                    <w:left w:val="single" w:color="auto" w:sz="4" w:space="0"/>
                    <w:bottom w:val="single" w:color="auto" w:sz="4" w:space="0"/>
                    <w:right w:val="single" w:color="auto" w:sz="4" w:space="0"/>
                  </w:tcBorders>
                  <w:vAlign w:val="top"/>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rFonts w:ascii="Times New Roman" w:hAnsi="Times New Roman" w:eastAsia="Times New Roman" w:cs="Times New Roman"/>
                      <w:sz w:val="20"/>
                      <w:szCs w:val="24"/>
                      <w:lang w:val="ro-RO" w:eastAsia="en-US" w:bidi="ar-SA"/>
                    </w:rPr>
                  </w:pPr>
                  <w:r>
                    <w:rPr>
                      <w:sz w:val="20"/>
                      <w:szCs w:val="20"/>
                      <w:lang w:val="en-US"/>
                    </w:rPr>
                    <w:t>000000002251017364</w:t>
                  </w: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1"/>
                      <w:szCs w:val="21"/>
                      <w:lang w:val="ro-RO"/>
                    </w:rPr>
                    <w:t>31682210-5</w:t>
                  </w: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numPr>
                      <w:ilvl w:val="1"/>
                      <w:numId w:val="22"/>
                    </w:numPr>
                    <w:spacing w:before="120"/>
                    <w:ind w:leftChars="0"/>
                    <w:rPr>
                      <w:rFonts w:hint="default" w:cs="Times New Roman"/>
                      <w:b w:val="0"/>
                      <w:bCs w:val="0"/>
                      <w:sz w:val="22"/>
                      <w:szCs w:val="22"/>
                    </w:rPr>
                  </w:pPr>
                  <w:r>
                    <w:rPr>
                      <w:rFonts w:hint="default" w:cs="Times New Roman"/>
                      <w:b w:val="0"/>
                      <w:bCs w:val="0"/>
                      <w:sz w:val="22"/>
                      <w:szCs w:val="22"/>
                    </w:rPr>
                    <w:t>C</w:t>
                  </w:r>
                  <w:r>
                    <w:rPr>
                      <w:rFonts w:ascii="Times New Roman" w:hAnsi="Times New Roman" w:cs="Times New Roman"/>
                      <w:b w:val="0"/>
                      <w:bCs w:val="0"/>
                      <w:sz w:val="22"/>
                      <w:szCs w:val="22"/>
                      <w:lang w:val="en-US"/>
                    </w:rPr>
                    <w:t xml:space="preserve">ontroler </w:t>
                  </w:r>
                  <w:r>
                    <w:rPr>
                      <w:rFonts w:hint="default" w:ascii="Times New Roman" w:hAnsi="Times New Roman" w:cs="Times New Roman"/>
                      <w:b w:val="0"/>
                      <w:bCs w:val="0"/>
                      <w:sz w:val="22"/>
                      <w:szCs w:val="22"/>
                    </w:rPr>
                    <w:t>specializat de dirija</w:t>
                  </w:r>
                  <w:r>
                    <w:rPr>
                      <w:rFonts w:hint="default" w:cs="Times New Roman"/>
                      <w:b w:val="0"/>
                      <w:bCs w:val="0"/>
                      <w:sz w:val="22"/>
                      <w:szCs w:val="22"/>
                    </w:rPr>
                    <w:t>r</w:t>
                  </w:r>
                  <w:r>
                    <w:rPr>
                      <w:rFonts w:hint="default" w:ascii="Times New Roman" w:hAnsi="Times New Roman" w:cs="Times New Roman"/>
                      <w:b w:val="0"/>
                      <w:bCs w:val="0"/>
                      <w:sz w:val="22"/>
                      <w:szCs w:val="22"/>
                    </w:rPr>
                    <w:t>e al iluminatului exterior</w:t>
                  </w:r>
                  <w:r>
                    <w:rPr>
                      <w:rFonts w:hint="default" w:cs="Times New Roman"/>
                      <w:b w:val="0"/>
                      <w:bCs w:val="0"/>
                      <w:sz w:val="22"/>
                      <w:szCs w:val="22"/>
                    </w:rPr>
                    <w:t>.</w:t>
                  </w:r>
                </w:p>
                <w:p>
                  <w:pPr>
                    <w:numPr>
                      <w:ilvl w:val="0"/>
                      <w:numId w:val="0"/>
                    </w:numPr>
                    <w:spacing w:before="120"/>
                    <w:ind w:leftChars="0"/>
                    <w:rPr>
                      <w:rFonts w:hint="default" w:cs="Times New Roman"/>
                      <w:b w:val="0"/>
                      <w:bCs w:val="0"/>
                      <w:sz w:val="22"/>
                      <w:szCs w:val="22"/>
                    </w:rPr>
                  </w:pPr>
                </w:p>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rFonts w:hint="default"/>
                      <w:color w:val="auto"/>
                      <w:sz w:val="24"/>
                      <w:szCs w:val="28"/>
                      <w:lang w:val="en-US"/>
                    </w:rPr>
                  </w:pPr>
                  <w:r>
                    <w:rPr>
                      <w:rFonts w:hint="default"/>
                      <w:color w:val="auto"/>
                      <w:sz w:val="24"/>
                      <w:szCs w:val="28"/>
                      <w:lang w:val="en-US"/>
                    </w:rPr>
                    <w:t>107</w:t>
                  </w:r>
                </w:p>
                <w:p>
                  <w:pPr>
                    <w:tabs>
                      <w:tab w:val="left" w:pos="709"/>
                    </w:tabs>
                    <w:jc w:val="center"/>
                    <w:rPr>
                      <w:rFonts w:hint="default"/>
                      <w:color w:val="auto"/>
                      <w:sz w:val="24"/>
                      <w:szCs w:val="28"/>
                    </w:rPr>
                  </w:pPr>
                </w:p>
                <w:p>
                  <w:pPr>
                    <w:tabs>
                      <w:tab w:val="left" w:pos="709"/>
                    </w:tabs>
                    <w:jc w:val="center"/>
                    <w:rPr>
                      <w:rFonts w:hint="default"/>
                      <w:color w:val="auto"/>
                      <w:sz w:val="24"/>
                      <w:szCs w:val="28"/>
                    </w:rPr>
                  </w:pPr>
                </w:p>
                <w:p>
                  <w:pPr>
                    <w:tabs>
                      <w:tab w:val="left" w:pos="709"/>
                    </w:tabs>
                    <w:jc w:val="center"/>
                    <w:rPr>
                      <w:rFonts w:hint="default"/>
                      <w:color w:val="auto"/>
                      <w:sz w:val="24"/>
                      <w:szCs w:val="28"/>
                    </w:rPr>
                  </w:pPr>
                </w:p>
                <w:p>
                  <w:pPr>
                    <w:tabs>
                      <w:tab w:val="left" w:pos="709"/>
                    </w:tabs>
                    <w:jc w:val="center"/>
                    <w:rPr>
                      <w:rFonts w:hint="default"/>
                      <w:color w:val="auto"/>
                      <w:sz w:val="24"/>
                      <w:szCs w:val="28"/>
                    </w:rPr>
                  </w:pPr>
                </w:p>
                <w:p>
                  <w:pPr>
                    <w:jc w:val="center"/>
                    <w:rPr>
                      <w:rFonts w:hint="default"/>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eastAsia="en-US" w:bidi="ar-SA"/>
                    </w:rPr>
                  </w:pPr>
                  <w:r>
                    <w:rPr>
                      <w:sz w:val="20"/>
                    </w:rPr>
                    <w:t>Max.</w:t>
                  </w:r>
                  <w:r>
                    <w:rPr>
                      <w:rFonts w:hint="default"/>
                      <w:sz w:val="20"/>
                    </w:rPr>
                    <w:t>30 zile</w:t>
                  </w:r>
                  <w:r>
                    <w:rPr>
                      <w:sz w:val="20"/>
                    </w:rPr>
                    <w:t xml:space="preserve"> din data </w:t>
                  </w:r>
                  <w:r>
                    <w:rPr>
                      <w:rFonts w:hint="default"/>
                      <w:sz w:val="20"/>
                    </w:rPr>
                    <w:t>semnării Contractului</w:t>
                  </w:r>
                </w:p>
              </w:tc>
              <w:tc>
                <w:tcPr>
                  <w:tcW w:w="2016" w:type="dxa"/>
                  <w:gridSpan w:val="4"/>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1"/>
                      <w:szCs w:val="21"/>
                      <w:lang w:val="ro-RO"/>
                    </w:rPr>
                    <w:t>31682210-5</w:t>
                  </w: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1"/>
                      <w:szCs w:val="21"/>
                      <w:lang w:val="ro-RO"/>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SimSun" w:cs="Times New Roman"/>
                      <w:i w:val="0"/>
                      <w:color w:val="000000"/>
                      <w:kern w:val="0"/>
                      <w:sz w:val="24"/>
                      <w:szCs w:val="24"/>
                      <w:u w:val="none"/>
                      <w:lang w:val="en-US" w:eastAsia="zh-CN" w:bidi="ar"/>
                    </w:rPr>
                  </w:pPr>
                  <w:r>
                    <w:rPr>
                      <w:rFonts w:hint="default" w:eastAsia="SimSun" w:cs="Times New Roman"/>
                      <w:i w:val="0"/>
                      <w:color w:val="000000"/>
                      <w:kern w:val="0"/>
                      <w:sz w:val="24"/>
                      <w:szCs w:val="24"/>
                      <w:u w:val="none"/>
                      <w:lang w:eastAsia="zh-CN" w:bidi="ar"/>
                    </w:rPr>
                    <w:t xml:space="preserve">2.1. </w:t>
                  </w:r>
                  <w:r>
                    <w:rPr>
                      <w:rFonts w:hint="default" w:ascii="Times New Roman" w:hAnsi="Times New Roman" w:eastAsia="SimSun" w:cs="Times New Roman"/>
                      <w:i w:val="0"/>
                      <w:color w:val="000000"/>
                      <w:kern w:val="0"/>
                      <w:sz w:val="24"/>
                      <w:szCs w:val="24"/>
                      <w:u w:val="none"/>
                      <w:lang w:val="en-US" w:eastAsia="zh-CN" w:bidi="ar"/>
                    </w:rPr>
                    <w:t>Cutie metalice (500*400*220) IP54</w:t>
                  </w:r>
                </w:p>
                <w:p>
                  <w:pPr>
                    <w:rPr>
                      <w:rFonts w:hint="default" w:ascii="Times New Roman" w:hAnsi="Times New Roman" w:eastAsia="SimSun" w:cs="Times New Roman"/>
                      <w:i w:val="0"/>
                      <w:color w:val="000000"/>
                      <w:kern w:val="0"/>
                      <w:sz w:val="24"/>
                      <w:szCs w:val="24"/>
                      <w:u w:val="none"/>
                      <w:lang w:val="en-US" w:eastAsia="zh-CN" w:bidi="ar"/>
                    </w:rPr>
                  </w:pPr>
                  <w:r>
                    <w:rPr>
                      <w:rFonts w:hint="default" w:eastAsia="SimSun" w:cs="Times New Roman"/>
                      <w:i w:val="0"/>
                      <w:color w:val="000000"/>
                      <w:kern w:val="0"/>
                      <w:sz w:val="24"/>
                      <w:szCs w:val="24"/>
                      <w:u w:val="none"/>
                      <w:lang w:eastAsia="zh-CN" w:bidi="ar"/>
                    </w:rPr>
                    <w:t>2.</w:t>
                  </w:r>
                  <w:r>
                    <w:rPr>
                      <w:rFonts w:hint="default" w:eastAsia="SimSun" w:cs="Times New Roman"/>
                      <w:i w:val="0"/>
                      <w:color w:val="000000"/>
                      <w:kern w:val="0"/>
                      <w:sz w:val="24"/>
                      <w:szCs w:val="24"/>
                      <w:u w:val="none"/>
                      <w:lang w:val="ru-RU" w:eastAsia="zh-CN" w:bidi="ar"/>
                    </w:rPr>
                    <w:t>2</w:t>
                  </w:r>
                  <w:r>
                    <w:rPr>
                      <w:rFonts w:hint="default" w:eastAsia="SimSun" w:cs="Times New Roman"/>
                      <w:i w:val="0"/>
                      <w:color w:val="000000"/>
                      <w:kern w:val="0"/>
                      <w:sz w:val="24"/>
                      <w:szCs w:val="24"/>
                      <w:u w:val="none"/>
                      <w:lang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Cutie metalice (</w:t>
                  </w:r>
                  <w:r>
                    <w:rPr>
                      <w:rFonts w:hint="default" w:eastAsia="SimSun" w:cs="Times New Roman"/>
                      <w:i w:val="0"/>
                      <w:color w:val="000000"/>
                      <w:kern w:val="0"/>
                      <w:sz w:val="24"/>
                      <w:szCs w:val="24"/>
                      <w:u w:val="none"/>
                      <w:lang w:eastAsia="zh-CN" w:bidi="ar"/>
                    </w:rPr>
                    <w:t>25</w:t>
                  </w:r>
                  <w:r>
                    <w:rPr>
                      <w:rFonts w:hint="default" w:ascii="Times New Roman" w:hAnsi="Times New Roman" w:eastAsia="SimSun" w:cs="Times New Roman"/>
                      <w:i w:val="0"/>
                      <w:color w:val="000000"/>
                      <w:kern w:val="0"/>
                      <w:sz w:val="24"/>
                      <w:szCs w:val="24"/>
                      <w:u w:val="none"/>
                      <w:lang w:val="en-US" w:eastAsia="zh-CN" w:bidi="ar"/>
                    </w:rPr>
                    <w:t>0*</w:t>
                  </w:r>
                  <w:r>
                    <w:rPr>
                      <w:rFonts w:hint="default" w:eastAsia="SimSun" w:cs="Times New Roman"/>
                      <w:i w:val="0"/>
                      <w:color w:val="000000"/>
                      <w:kern w:val="0"/>
                      <w:sz w:val="24"/>
                      <w:szCs w:val="24"/>
                      <w:u w:val="none"/>
                      <w:lang w:eastAsia="zh-CN" w:bidi="ar"/>
                    </w:rPr>
                    <w:t>30</w:t>
                  </w:r>
                  <w:r>
                    <w:rPr>
                      <w:rFonts w:hint="default" w:ascii="Times New Roman" w:hAnsi="Times New Roman" w:eastAsia="SimSun" w:cs="Times New Roman"/>
                      <w:i w:val="0"/>
                      <w:color w:val="000000"/>
                      <w:kern w:val="0"/>
                      <w:sz w:val="24"/>
                      <w:szCs w:val="24"/>
                      <w:u w:val="none"/>
                      <w:lang w:val="en-US" w:eastAsia="zh-CN" w:bidi="ar"/>
                    </w:rPr>
                    <w:t>0*</w:t>
                  </w:r>
                  <w:r>
                    <w:rPr>
                      <w:rFonts w:hint="default" w:eastAsia="SimSun" w:cs="Times New Roman"/>
                      <w:i w:val="0"/>
                      <w:color w:val="000000"/>
                      <w:kern w:val="0"/>
                      <w:sz w:val="24"/>
                      <w:szCs w:val="24"/>
                      <w:u w:val="none"/>
                      <w:lang w:eastAsia="zh-CN" w:bidi="ar"/>
                    </w:rPr>
                    <w:t>15</w:t>
                  </w:r>
                  <w:r>
                    <w:rPr>
                      <w:rFonts w:hint="default" w:ascii="Times New Roman" w:hAnsi="Times New Roman" w:eastAsia="SimSun" w:cs="Times New Roman"/>
                      <w:i w:val="0"/>
                      <w:color w:val="000000"/>
                      <w:kern w:val="0"/>
                      <w:sz w:val="24"/>
                      <w:szCs w:val="24"/>
                      <w:u w:val="none"/>
                      <w:lang w:val="en-US" w:eastAsia="zh-CN" w:bidi="ar"/>
                    </w:rPr>
                    <w:t>0) IP54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36"/>
                    </w:rPr>
                  </w:pPr>
                  <w:r>
                    <w:rPr>
                      <w:rFonts w:hint="default"/>
                      <w:sz w:val="24"/>
                      <w:szCs w:val="36"/>
                    </w:rPr>
                    <w:t>buc</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4"/>
                      <w:szCs w:val="36"/>
                      <w:lang w:val="en-US"/>
                    </w:rPr>
                  </w:pPr>
                  <w:r>
                    <w:rPr>
                      <w:rFonts w:hint="default"/>
                      <w:sz w:val="24"/>
                      <w:szCs w:val="36"/>
                      <w:lang w:val="en-US"/>
                    </w:rPr>
                    <w:t>107</w:t>
                  </w:r>
                </w:p>
                <w:p>
                  <w:pPr>
                    <w:rPr>
                      <w:rFonts w:hint="default"/>
                      <w:sz w:val="24"/>
                      <w:szCs w:val="36"/>
                      <w:lang w:val="en-US"/>
                    </w:rPr>
                  </w:pPr>
                </w:p>
                <w:p>
                  <w:pPr>
                    <w:rPr>
                      <w:rFonts w:hint="default"/>
                      <w:sz w:val="24"/>
                      <w:szCs w:val="36"/>
                      <w:lang w:val="ru-RU"/>
                    </w:rPr>
                  </w:pPr>
                  <w:r>
                    <w:rPr>
                      <w:rFonts w:hint="default"/>
                      <w:sz w:val="24"/>
                      <w:szCs w:val="36"/>
                      <w:lang w:val="ru-RU"/>
                    </w:rPr>
                    <w:t>20</w:t>
                  </w: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30 zile</w:t>
                  </w:r>
                  <w:r>
                    <w:rPr>
                      <w:sz w:val="20"/>
                    </w:rPr>
                    <w:t xml:space="preserve"> din data </w:t>
                  </w:r>
                  <w:r>
                    <w:rPr>
                      <w:rFonts w:hint="default"/>
                      <w:sz w:val="20"/>
                    </w:rPr>
                    <w:t>semnării Contractului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1"/>
                      <w:szCs w:val="21"/>
                      <w:lang w:val="ro-RO"/>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b/>
                      <w:sz w:val="20"/>
                    </w:rPr>
                    <w:t xml:space="preserve">Total lot </w:t>
                  </w:r>
                  <w:r>
                    <w:rPr>
                      <w:rFonts w:hint="default"/>
                      <w:b/>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0"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4"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3" w:type="dxa"/>
                <w:trHeight w:val="397" w:hRule="atLeast"/>
              </w:trPr>
              <w:tc>
                <w:tcPr>
                  <w:tcW w:w="1036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1"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0"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7" w:type="pct"/>
          <w:trHeight w:val="397" w:hRule="atLeast"/>
        </w:trPr>
        <w:tc>
          <w:tcPr>
            <w:tcW w:w="624"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1"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3"/>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4"/>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5"/>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5"/>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5"/>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DE92ED"/>
    <w:multiLevelType w:val="multilevel"/>
    <w:tmpl w:val="93DE92ED"/>
    <w:lvl w:ilvl="0" w:tentative="0">
      <w:start w:val="1"/>
      <w:numFmt w:val="decimal"/>
      <w:lvlText w:val="%1."/>
      <w:lvlJc w:val="left"/>
      <w:pPr>
        <w:tabs>
          <w:tab w:val="left" w:pos="312"/>
        </w:tabs>
        <w:ind w:left="0" w:leftChars="0" w:firstLine="0" w:firstLineChars="0"/>
      </w:pPr>
      <w:rPr>
        <w:rFonts w:hint="default"/>
      </w:rPr>
    </w:lvl>
    <w:lvl w:ilvl="1" w:tentative="0">
      <w:start w:val="1"/>
      <w:numFmt w:val="decimal"/>
      <w:lvlText w:val="%1.%2."/>
      <w:lvlJc w:val="left"/>
      <w:pPr>
        <w:tabs>
          <w:tab w:val="left" w:pos="312"/>
        </w:tabs>
        <w:ind w:left="0" w:leftChars="0" w:firstLine="0" w:firstLineChars="0"/>
      </w:pPr>
      <w:rPr>
        <w:rFonts w:hint="default"/>
      </w:rPr>
    </w:lvl>
    <w:lvl w:ilvl="2" w:tentative="0">
      <w:start w:val="1"/>
      <w:numFmt w:val="decimal"/>
      <w:lvlText w:val="%1.%2.%3."/>
      <w:lvlJc w:val="left"/>
      <w:pPr>
        <w:tabs>
          <w:tab w:val="left" w:pos="312"/>
        </w:tabs>
        <w:ind w:left="0" w:leftChars="0" w:firstLine="0" w:firstLineChars="0"/>
      </w:pPr>
      <w:rPr>
        <w:rFonts w:hint="default"/>
      </w:rPr>
    </w:lvl>
    <w:lvl w:ilvl="3" w:tentative="0">
      <w:start w:val="1"/>
      <w:numFmt w:val="decimal"/>
      <w:lvlText w:val="%1.%2.%3.%4."/>
      <w:lvlJc w:val="left"/>
      <w:pPr>
        <w:tabs>
          <w:tab w:val="left" w:pos="312"/>
        </w:tabs>
        <w:ind w:left="0" w:leftChars="0" w:firstLine="0" w:firstLineChars="0"/>
      </w:pPr>
      <w:rPr>
        <w:rFonts w:hint="default"/>
      </w:rPr>
    </w:lvl>
    <w:lvl w:ilvl="4" w:tentative="0">
      <w:start w:val="1"/>
      <w:numFmt w:val="decimal"/>
      <w:lvlText w:val="%1.%2.%3.%4.%5."/>
      <w:lvlJc w:val="left"/>
      <w:pPr>
        <w:tabs>
          <w:tab w:val="left" w:pos="312"/>
        </w:tabs>
        <w:ind w:left="0" w:leftChars="0" w:firstLine="0" w:firstLineChars="0"/>
      </w:pPr>
      <w:rPr>
        <w:rFonts w:hint="default"/>
      </w:rPr>
    </w:lvl>
    <w:lvl w:ilvl="5" w:tentative="0">
      <w:start w:val="1"/>
      <w:numFmt w:val="decimal"/>
      <w:lvlText w:val="%1.%2.%3.%4.%5.%6."/>
      <w:lvlJc w:val="left"/>
      <w:pPr>
        <w:tabs>
          <w:tab w:val="left" w:pos="312"/>
        </w:tabs>
        <w:ind w:left="0" w:leftChars="0" w:firstLine="0" w:firstLineChars="0"/>
      </w:pPr>
      <w:rPr>
        <w:rFonts w:hint="default"/>
      </w:rPr>
    </w:lvl>
    <w:lvl w:ilvl="6" w:tentative="0">
      <w:start w:val="1"/>
      <w:numFmt w:val="decimal"/>
      <w:lvlText w:val="%1.%2.%3.%4.%5.%6.%7."/>
      <w:lvlJc w:val="left"/>
      <w:pPr>
        <w:tabs>
          <w:tab w:val="left" w:pos="312"/>
        </w:tabs>
        <w:ind w:left="0" w:leftChars="0" w:firstLine="0" w:firstLineChars="0"/>
      </w:pPr>
      <w:rPr>
        <w:rFonts w:hint="default"/>
      </w:rPr>
    </w:lvl>
    <w:lvl w:ilvl="7" w:tentative="0">
      <w:start w:val="1"/>
      <w:numFmt w:val="decimal"/>
      <w:lvlText w:val="%1.%2.%3.%4.%5.%6.%7.%8."/>
      <w:lvlJc w:val="left"/>
      <w:pPr>
        <w:tabs>
          <w:tab w:val="left" w:pos="312"/>
        </w:tabs>
        <w:ind w:left="0" w:leftChars="0" w:firstLine="0" w:firstLineChars="0"/>
      </w:pPr>
      <w:rPr>
        <w:rFonts w:hint="default"/>
      </w:rPr>
    </w:lvl>
    <w:lvl w:ilvl="8" w:tentative="0">
      <w:start w:val="1"/>
      <w:numFmt w:val="decimal"/>
      <w:lvlText w:val="%1.%2.%3.%4.%5.%6.%7.%8.%9."/>
      <w:lvlJc w:val="left"/>
      <w:pPr>
        <w:tabs>
          <w:tab w:val="left" w:pos="312"/>
        </w:tabs>
        <w:ind w:left="0" w:leftChars="0" w:firstLine="0" w:firstLineChars="0"/>
      </w:pPr>
      <w:rPr>
        <w:rFonts w:hint="default"/>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5">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69EDD983"/>
    <w:multiLevelType w:val="multilevel"/>
    <w:tmpl w:val="69EDD98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1">
    <w:nsid w:val="7E36CBA8"/>
    <w:multiLevelType w:val="multilevel"/>
    <w:tmpl w:val="7E36CBA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8"/>
  </w:num>
  <w:num w:numId="2">
    <w:abstractNumId w:val="22"/>
  </w:num>
  <w:num w:numId="3">
    <w:abstractNumId w:val="3"/>
  </w:num>
  <w:num w:numId="4">
    <w:abstractNumId w:val="17"/>
  </w:num>
  <w:num w:numId="5">
    <w:abstractNumId w:val="4"/>
  </w:num>
  <w:num w:numId="6">
    <w:abstractNumId w:val="15"/>
  </w:num>
  <w:num w:numId="7">
    <w:abstractNumId w:val="12"/>
  </w:num>
  <w:num w:numId="8">
    <w:abstractNumId w:val="16"/>
  </w:num>
  <w:num w:numId="9">
    <w:abstractNumId w:val="10"/>
  </w:num>
  <w:num w:numId="10">
    <w:abstractNumId w:val="13"/>
  </w:num>
  <w:num w:numId="11">
    <w:abstractNumId w:val="11"/>
  </w:num>
  <w:num w:numId="12">
    <w:abstractNumId w:val="19"/>
  </w:num>
  <w:num w:numId="13">
    <w:abstractNumId w:val="1"/>
  </w:num>
  <w:num w:numId="14">
    <w:abstractNumId w:val="5"/>
  </w:num>
  <w:num w:numId="15">
    <w:abstractNumId w:val="2"/>
  </w:num>
  <w:num w:numId="16">
    <w:abstractNumId w:val="7"/>
  </w:num>
  <w:num w:numId="17">
    <w:abstractNumId w:val="6"/>
  </w:num>
  <w:num w:numId="18">
    <w:abstractNumId w:val="9"/>
  </w:num>
  <w:num w:numId="19">
    <w:abstractNumId w:val="0"/>
  </w:num>
  <w:num w:numId="20">
    <w:abstractNumId w:val="14"/>
  </w:num>
  <w:num w:numId="21">
    <w:abstractNumId w:val="20"/>
  </w:num>
  <w:num w:numId="22">
    <w:abstractNumId w:val="21"/>
  </w:num>
  <w:num w:numId="23">
    <w:abstractNumId w:val="18"/>
    <w:lvlOverride w:ilvl="0">
      <w:startOverride w:val="2"/>
    </w:lvlOverride>
  </w:num>
  <w:num w:numId="24">
    <w:abstractNumId w:val="22"/>
    <w:lvlOverride w:ilvl="0">
      <w:startOverride w:val="7"/>
    </w:lvlOverride>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1CA861BF"/>
    <w:rsid w:val="1D295A23"/>
    <w:rsid w:val="3CA26454"/>
    <w:rsid w:val="4DFE10AB"/>
    <w:rsid w:val="50623EB8"/>
    <w:rsid w:val="55E81A2D"/>
    <w:rsid w:val="58E22750"/>
    <w:rsid w:val="5C1C750C"/>
    <w:rsid w:val="6A535D99"/>
    <w:rsid w:val="6F2B40A9"/>
    <w:rsid w:val="6FEF0574"/>
    <w:rsid w:val="77D33DD0"/>
    <w:rsid w:val="79612B7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101"/>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Font Style35"/>
    <w:basedOn w:val="10"/>
    <w:qFormat/>
    <w:uiPriority w:val="0"/>
    <w:rPr>
      <w:rFonts w:ascii="Courier New" w:hAnsi="Courier New" w:cs="Courier New"/>
      <w:sz w:val="20"/>
      <w:szCs w:val="20"/>
    </w:rPr>
  </w:style>
  <w:style w:type="character" w:customStyle="1" w:styleId="101">
    <w:name w:val="Текст выноски Знак"/>
    <w:basedOn w:val="10"/>
    <w:link w:val="12"/>
    <w:semiHidden/>
    <w:qFormat/>
    <w:uiPriority w:val="99"/>
    <w:rPr>
      <w:rFonts w:ascii="Segoe UI" w:hAnsi="Segoe UI" w:eastAsia="Times New Roman" w:cs="Segoe UI"/>
      <w:sz w:val="18"/>
      <w:szCs w:val="18"/>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1</TotalTime>
  <ScaleCrop>false</ScaleCrop>
  <LinksUpToDate>false</LinksUpToDate>
  <CharactersWithSpaces>142529</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2023-03-06T10:16:42Z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DF054935A0E94F9AA1EB2C97B3704FE1</vt:lpwstr>
  </property>
</Properties>
</file>