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9B6FFB" w:rsidRPr="009B6FFB">
        <w:rPr>
          <w:rFonts w:eastAsia="Times New Roman"/>
          <w:b/>
          <w:bCs/>
          <w:noProof w:val="0"/>
          <w:szCs w:val="23"/>
          <w:bdr w:val="none" w:sz="0" w:space="0" w:color="auto" w:frame="1"/>
          <w:shd w:val="clear" w:color="auto" w:fill="FFFFFF"/>
          <w:lang w:eastAsia="ru-RU"/>
        </w:rPr>
        <w:t>ocds-b3wdp1-MD-1724416535457</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B6FFB" w:rsidRPr="009B6FFB">
        <w:rPr>
          <w:rFonts w:eastAsia="Times New Roman"/>
          <w:b/>
          <w:bCs/>
          <w:noProof w:val="0"/>
          <w:szCs w:val="23"/>
          <w:bdr w:val="none" w:sz="0" w:space="0" w:color="auto" w:frame="1"/>
          <w:shd w:val="clear" w:color="auto" w:fill="FFFFFF"/>
          <w:lang w:eastAsia="ru-RU"/>
        </w:rPr>
        <w:t>ocds-b3wdp1-MD-1724416535457</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B6FFB" w:rsidRPr="009B6FFB">
        <w:rPr>
          <w:rFonts w:eastAsia="Times New Roman"/>
          <w:b/>
          <w:bCs/>
          <w:noProof w:val="0"/>
          <w:szCs w:val="23"/>
          <w:bdr w:val="none" w:sz="0" w:space="0" w:color="auto" w:frame="1"/>
          <w:shd w:val="clear" w:color="auto" w:fill="FFFFFF"/>
          <w:lang w:eastAsia="ru-RU"/>
        </w:rPr>
        <w:t>ocds-b3wdp1-MD-1724416535457</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B6FFB" w:rsidRPr="009B6FFB">
        <w:rPr>
          <w:rFonts w:eastAsia="Times New Roman"/>
          <w:b/>
          <w:bCs/>
          <w:noProof w:val="0"/>
          <w:szCs w:val="23"/>
          <w:bdr w:val="none" w:sz="0" w:space="0" w:color="auto" w:frame="1"/>
          <w:shd w:val="clear" w:color="auto" w:fill="FFFFFF"/>
          <w:lang w:eastAsia="ru-RU"/>
        </w:rPr>
        <w:t>ocds-b3wdp1-MD-1724416535457</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9B6FFB" w:rsidRPr="009B6FFB">
        <w:rPr>
          <w:rFonts w:eastAsia="Times New Roman"/>
          <w:b/>
          <w:bCs/>
          <w:noProof w:val="0"/>
          <w:szCs w:val="23"/>
          <w:bdr w:val="none" w:sz="0" w:space="0" w:color="auto" w:frame="1"/>
          <w:shd w:val="clear" w:color="auto" w:fill="FFFFFF"/>
          <w:lang w:eastAsia="ru-RU"/>
        </w:rPr>
        <w:t>ocds-b3wdp1-MD-1724416535457</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9B6FFB">
        <w:rPr>
          <w:b/>
          <w:bCs/>
          <w:i/>
        </w:rPr>
        <w:t>achiziționarea</w:t>
      </w:r>
      <w:r w:rsidR="00AA744D" w:rsidRPr="00AA744D">
        <w:rPr>
          <w:bCs/>
          <w:i/>
        </w:rPr>
        <w:t xml:space="preserve"> </w:t>
      </w:r>
      <w:r w:rsidR="00586BDD" w:rsidRPr="00586BDD">
        <w:rPr>
          <w:b/>
          <w:bCs/>
          <w:i/>
        </w:rPr>
        <w:t xml:space="preserve">reînnoirii </w:t>
      </w:r>
      <w:r w:rsidR="009B6FFB" w:rsidRPr="009B6FFB">
        <w:rPr>
          <w:b/>
          <w:bCs/>
          <w:i/>
        </w:rPr>
        <w:t>subscripției (suport) pentru produsele IBM Informix</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 xml:space="preserve">la Documentația standard pentru procedura de achiziție, cu nr. de identificare în SIA RSAP Mtender: </w:t>
            </w:r>
            <w:r w:rsidR="009B6FFB" w:rsidRPr="009B6FFB">
              <w:rPr>
                <w:b/>
                <w:bCs/>
                <w:noProof w:val="0"/>
              </w:rPr>
              <w:t>ocds-b3wdp1-MD-1724416535457</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9B6FFB">
            <w:r w:rsidRPr="00B0349C">
              <w:t>Numărul procedurii de achiziție</w:t>
            </w:r>
            <w:r w:rsidR="00102F1D" w:rsidRPr="00B0349C">
              <w:t xml:space="preserve">: </w:t>
            </w:r>
            <w:r w:rsidR="0056064A" w:rsidRPr="00B0349C">
              <w:rPr>
                <w:b/>
              </w:rPr>
              <w:t>MTender ID:</w:t>
            </w:r>
            <w:r w:rsidR="009B6FFB">
              <w:t xml:space="preserve"> </w:t>
            </w:r>
            <w:r w:rsidR="009B6FFB" w:rsidRPr="009B6FFB">
              <w:rPr>
                <w:b/>
                <w:bCs/>
              </w:rPr>
              <w:t>ocds-b3wdp1-MD-1724416535457</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9B6FFB">
            <w:r w:rsidRPr="00155B6E">
              <w:t>Obiectul</w:t>
            </w:r>
            <w:r w:rsidR="00215125" w:rsidRPr="00155B6E">
              <w:t xml:space="preserve"> achiziție</w:t>
            </w:r>
            <w:r w:rsidRPr="00155B6E">
              <w:t>i</w:t>
            </w:r>
            <w:r w:rsidR="009B748C">
              <w:t xml:space="preserve">: </w:t>
            </w:r>
            <w:r w:rsidR="009B748C" w:rsidRPr="009B748C">
              <w:rPr>
                <w:b/>
              </w:rPr>
              <w:t>R</w:t>
            </w:r>
            <w:r w:rsidR="009B748C">
              <w:rPr>
                <w:b/>
              </w:rPr>
              <w:t>eînnoirea</w:t>
            </w:r>
            <w:r w:rsidR="009B748C" w:rsidRPr="009B748C">
              <w:rPr>
                <w:b/>
              </w:rPr>
              <w:t xml:space="preserve"> </w:t>
            </w:r>
            <w:r w:rsidR="009B6FFB" w:rsidRPr="009B6FFB">
              <w:rPr>
                <w:b/>
              </w:rPr>
              <w:t>subscripției (suport) pentru produsele IBM Informix</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9B6FFB" w:rsidRPr="00155B6E" w:rsidTr="000200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B6FFB" w:rsidRPr="00747A54" w:rsidRDefault="009B6FFB" w:rsidP="009B6FFB">
            <w:pPr>
              <w:tabs>
                <w:tab w:val="left" w:pos="360"/>
              </w:tabs>
              <w:autoSpaceDE w:val="0"/>
              <w:autoSpaceDN w:val="0"/>
              <w:adjustRightInd w:val="0"/>
              <w:rPr>
                <w:color w:val="000000"/>
                <w:sz w:val="20"/>
                <w:szCs w:val="20"/>
              </w:rPr>
            </w:pPr>
            <w:r w:rsidRPr="009B6FFB">
              <w:rPr>
                <w:bCs/>
                <w:color w:val="000000"/>
                <w:sz w:val="20"/>
                <w:szCs w:val="20"/>
              </w:rPr>
              <w:t>Reînnoirea subscripției (suport) pentru produsele IBM Informix enterprise edition CPU</w:t>
            </w:r>
          </w:p>
        </w:tc>
        <w:tc>
          <w:tcPr>
            <w:tcW w:w="574"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themeFill="background1"/>
            <w:vAlign w:val="center"/>
          </w:tcPr>
          <w:p w:rsidR="009B6FFB" w:rsidRPr="00FF050D" w:rsidRDefault="009B6FFB" w:rsidP="009B6FFB">
            <w:pPr>
              <w:outlineLvl w:val="0"/>
              <w:rPr>
                <w:sz w:val="20"/>
                <w:szCs w:val="20"/>
              </w:rPr>
            </w:pPr>
            <w:r w:rsidRPr="00FF050D">
              <w:rPr>
                <w:sz w:val="20"/>
                <w:szCs w:val="20"/>
              </w:rPr>
              <w:t>IBM Informix Enterprise Edition CPU Option Processor Value Unit (PVU)</w:t>
            </w:r>
          </w:p>
          <w:p w:rsidR="009B6FFB" w:rsidRPr="00FF050D" w:rsidRDefault="009B6FFB" w:rsidP="009B6FFB">
            <w:pPr>
              <w:outlineLvl w:val="0"/>
              <w:rPr>
                <w:sz w:val="20"/>
                <w:szCs w:val="20"/>
              </w:rPr>
            </w:pPr>
            <w:r w:rsidRPr="00FF050D">
              <w:rPr>
                <w:sz w:val="20"/>
                <w:szCs w:val="20"/>
              </w:rPr>
              <w:t>Annual SW Subscription &amp;</w:t>
            </w:r>
          </w:p>
          <w:p w:rsidR="009B6FFB" w:rsidRPr="00FF050D" w:rsidRDefault="009B6FFB" w:rsidP="009B6FFB">
            <w:pPr>
              <w:outlineLvl w:val="0"/>
              <w:rPr>
                <w:sz w:val="20"/>
                <w:szCs w:val="20"/>
              </w:rPr>
            </w:pPr>
            <w:r w:rsidRPr="00FF050D">
              <w:rPr>
                <w:sz w:val="20"/>
                <w:szCs w:val="20"/>
              </w:rPr>
              <w:t>Suppirt Renewal (12 luni)</w:t>
            </w:r>
          </w:p>
          <w:p w:rsidR="009B6FFB" w:rsidRDefault="009B6FFB" w:rsidP="009B6FFB">
            <w:pPr>
              <w:outlineLvl w:val="0"/>
              <w:rPr>
                <w:sz w:val="20"/>
                <w:szCs w:val="20"/>
              </w:rPr>
            </w:pPr>
            <w:r w:rsidRPr="00FF050D">
              <w:rPr>
                <w:sz w:val="20"/>
                <w:szCs w:val="20"/>
              </w:rPr>
              <w:t>Part number: E08SLLL</w:t>
            </w:r>
          </w:p>
          <w:p w:rsidR="009B6FFB" w:rsidRPr="00FF050D" w:rsidRDefault="009B6FFB" w:rsidP="009B6FFB">
            <w:pPr>
              <w:outlineLvl w:val="0"/>
              <w:rPr>
                <w:sz w:val="20"/>
                <w:szCs w:val="20"/>
              </w:rPr>
            </w:pPr>
            <w:r w:rsidRPr="002E0316">
              <w:rPr>
                <w:sz w:val="20"/>
                <w:szCs w:val="20"/>
              </w:rPr>
              <w:t>IBM Customer Number – 542001</w:t>
            </w:r>
          </w:p>
        </w:tc>
        <w:tc>
          <w:tcPr>
            <w:tcW w:w="932" w:type="pct"/>
            <w:tcBorders>
              <w:top w:val="single" w:sz="4" w:space="0" w:color="auto"/>
              <w:left w:val="single" w:sz="4" w:space="0" w:color="auto"/>
              <w:bottom w:val="single" w:sz="4" w:space="0" w:color="auto"/>
              <w:right w:val="single" w:sz="4" w:space="0" w:color="auto"/>
            </w:tcBorders>
          </w:tcPr>
          <w:p w:rsidR="009B6FFB" w:rsidRPr="00155B6E" w:rsidRDefault="009B6FFB" w:rsidP="009B6F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r>
      <w:tr w:rsidR="009B6FFB" w:rsidRPr="00155B6E" w:rsidTr="0002002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B6FFB" w:rsidRPr="00747A54" w:rsidRDefault="009B6FFB" w:rsidP="009B6FFB">
            <w:pPr>
              <w:tabs>
                <w:tab w:val="left" w:pos="360"/>
              </w:tabs>
              <w:autoSpaceDE w:val="0"/>
              <w:autoSpaceDN w:val="0"/>
              <w:adjustRightInd w:val="0"/>
              <w:rPr>
                <w:color w:val="000000"/>
                <w:sz w:val="20"/>
                <w:szCs w:val="20"/>
              </w:rPr>
            </w:pPr>
            <w:r w:rsidRPr="009B6FFB">
              <w:rPr>
                <w:bCs/>
                <w:color w:val="000000"/>
                <w:sz w:val="20"/>
                <w:szCs w:val="20"/>
              </w:rPr>
              <w:t>Reînnoirea subscripției (suport) pentru produsele IBM Informix client SDK</w:t>
            </w:r>
          </w:p>
        </w:tc>
        <w:tc>
          <w:tcPr>
            <w:tcW w:w="574"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themeFill="background1"/>
            <w:vAlign w:val="center"/>
          </w:tcPr>
          <w:p w:rsidR="009B6FFB" w:rsidRPr="00FF050D" w:rsidRDefault="009B6FFB" w:rsidP="009B6FFB">
            <w:pPr>
              <w:tabs>
                <w:tab w:val="left" w:pos="360"/>
              </w:tabs>
              <w:autoSpaceDE w:val="0"/>
              <w:autoSpaceDN w:val="0"/>
              <w:adjustRightInd w:val="0"/>
              <w:rPr>
                <w:color w:val="000000"/>
                <w:sz w:val="20"/>
                <w:szCs w:val="20"/>
              </w:rPr>
            </w:pPr>
            <w:r w:rsidRPr="00FF050D">
              <w:rPr>
                <w:color w:val="000000"/>
                <w:sz w:val="20"/>
                <w:szCs w:val="20"/>
              </w:rPr>
              <w:t>IBM Informix Client SDK Authorized User Single Install Аnnuаl SW Subscription &amp; Suрроrt Renewal (l2 luni)</w:t>
            </w:r>
          </w:p>
          <w:p w:rsidR="009B6FFB" w:rsidRPr="00FF050D" w:rsidRDefault="009B6FFB" w:rsidP="009B6FFB">
            <w:pPr>
              <w:tabs>
                <w:tab w:val="left" w:pos="360"/>
              </w:tabs>
              <w:autoSpaceDE w:val="0"/>
              <w:autoSpaceDN w:val="0"/>
              <w:adjustRightInd w:val="0"/>
              <w:rPr>
                <w:color w:val="000000"/>
                <w:sz w:val="20"/>
                <w:szCs w:val="20"/>
              </w:rPr>
            </w:pPr>
            <w:r w:rsidRPr="00FF050D">
              <w:rPr>
                <w:color w:val="000000"/>
                <w:sz w:val="20"/>
                <w:szCs w:val="20"/>
              </w:rPr>
              <w:t>Part number: E2DDQLL</w:t>
            </w:r>
          </w:p>
        </w:tc>
        <w:tc>
          <w:tcPr>
            <w:tcW w:w="932" w:type="pct"/>
            <w:tcBorders>
              <w:top w:val="single" w:sz="4" w:space="0" w:color="auto"/>
              <w:left w:val="single" w:sz="4" w:space="0" w:color="auto"/>
              <w:bottom w:val="single" w:sz="4" w:space="0" w:color="auto"/>
              <w:right w:val="single" w:sz="4" w:space="0" w:color="auto"/>
            </w:tcBorders>
          </w:tcPr>
          <w:p w:rsidR="009B6FFB" w:rsidRPr="00155B6E" w:rsidRDefault="009B6FFB" w:rsidP="009B6F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B6FFB" w:rsidRPr="00155B6E" w:rsidRDefault="009B6FFB" w:rsidP="009B6FFB">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59"/>
              <w:gridCol w:w="994"/>
              <w:gridCol w:w="1061"/>
              <w:gridCol w:w="1360"/>
              <w:gridCol w:w="1145"/>
              <w:gridCol w:w="1428"/>
              <w:gridCol w:w="1136"/>
              <w:gridCol w:w="54"/>
              <w:gridCol w:w="1369"/>
              <w:gridCol w:w="261"/>
              <w:gridCol w:w="36"/>
              <w:gridCol w:w="946"/>
              <w:gridCol w:w="236"/>
              <w:gridCol w:w="25"/>
              <w:gridCol w:w="36"/>
              <w:gridCol w:w="1165"/>
              <w:gridCol w:w="25"/>
              <w:gridCol w:w="31"/>
              <w:gridCol w:w="415"/>
            </w:tblGrid>
            <w:tr w:rsidR="00C25482" w:rsidRPr="00155B6E" w:rsidTr="00102F1D">
              <w:trPr>
                <w:gridAfter w:val="3"/>
                <w:wAfter w:w="482" w:type="dxa"/>
                <w:trHeight w:val="697"/>
              </w:trPr>
              <w:tc>
                <w:tcPr>
                  <w:tcW w:w="13961" w:type="dxa"/>
                  <w:gridSpan w:val="15"/>
                  <w:vAlign w:val="center"/>
                </w:tcPr>
                <w:p w:rsidR="00586BDD" w:rsidRDefault="00C25482" w:rsidP="009B6FFB">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9613A9" w:rsidRPr="00155B6E" w:rsidRDefault="00381725" w:rsidP="009B6FFB">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9B6FFB">
                  <w:pPr>
                    <w:framePr w:hSpace="180" w:wrap="around" w:vAnchor="page" w:hAnchor="margin" w:y="347"/>
                    <w:ind w:left="9251"/>
                    <w:jc w:val="right"/>
                    <w:rPr>
                      <w:noProof w:val="0"/>
                    </w:rPr>
                  </w:pPr>
                  <w:r w:rsidRPr="00155B6E">
                    <w:rPr>
                      <w:noProof w:val="0"/>
                    </w:rPr>
                    <w:t xml:space="preserve">la Documentația standard </w:t>
                  </w:r>
                  <w:r>
                    <w:rPr>
                      <w:noProof w:val="0"/>
                    </w:rPr>
                    <w:t xml:space="preserve">pentru procedura de achiziție, cu nr. de identificare în SIA RSAP </w:t>
                  </w:r>
                  <w:r w:rsidR="000F6680">
                    <w:rPr>
                      <w:noProof w:val="0"/>
                    </w:rPr>
                    <w:t>Mtender:</w:t>
                  </w:r>
                  <w:r w:rsidR="000F6680">
                    <w:t xml:space="preserve"> </w:t>
                  </w:r>
                  <w:r w:rsidR="009B6FFB" w:rsidRPr="009B6FFB">
                    <w:rPr>
                      <w:rFonts w:eastAsia="Times New Roman"/>
                      <w:b/>
                      <w:bCs/>
                      <w:noProof w:val="0"/>
                      <w:szCs w:val="23"/>
                      <w:bdr w:val="none" w:sz="0" w:space="0" w:color="auto" w:frame="1"/>
                      <w:shd w:val="clear" w:color="auto" w:fill="FFFFFF"/>
                      <w:lang w:eastAsia="ru-RU"/>
                    </w:rPr>
                    <w:t>ocds-b3wdp1-MD-1724416535457</w:t>
                  </w:r>
                </w:p>
                <w:p w:rsidR="00C25482" w:rsidRPr="00155B6E" w:rsidRDefault="00C25482" w:rsidP="009B6FFB">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9B6FFB">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9B6FFB">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9B6FFB">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9B6FFB">
                  <w:pPr>
                    <w:framePr w:hSpace="180" w:wrap="around" w:vAnchor="page" w:hAnchor="margin" w:y="347"/>
                    <w:jc w:val="both"/>
                    <w:rPr>
                      <w:i/>
                      <w:iCs/>
                    </w:rPr>
                  </w:pP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9B6FFB">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6FFB">
                  <w:pPr>
                    <w:framePr w:hSpace="180" w:wrap="around" w:vAnchor="page" w:hAnchor="margin" w:y="347"/>
                  </w:pPr>
                  <w:r w:rsidRPr="00155B6E">
                    <w:t>Numărul procedurii de achiziție</w:t>
                  </w:r>
                  <w:r>
                    <w:t xml:space="preserve">: </w:t>
                  </w:r>
                  <w:r w:rsidRPr="0056064A">
                    <w:rPr>
                      <w:b/>
                    </w:rPr>
                    <w:t>MTender ID</w:t>
                  </w:r>
                  <w:r w:rsidR="009B6FFB">
                    <w:rPr>
                      <w:b/>
                    </w:rPr>
                    <w:t>:</w:t>
                  </w:r>
                  <w:r w:rsidR="009B6FFB">
                    <w:t xml:space="preserve"> </w:t>
                  </w:r>
                  <w:r w:rsidR="009B6FFB" w:rsidRPr="009B6FFB">
                    <w:rPr>
                      <w:b/>
                    </w:rPr>
                    <w:t>ocds-b3wdp1-MD-1724416535457</w:t>
                  </w: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9B6FFB">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6FFB">
                  <w:pPr>
                    <w:framePr w:hSpace="180" w:wrap="around" w:vAnchor="page" w:hAnchor="margin" w:y="347"/>
                  </w:pPr>
                  <w:r w:rsidRPr="00155B6E">
                    <w:t>Obiectul achiziției</w:t>
                  </w:r>
                  <w:r>
                    <w:t>:</w:t>
                  </w:r>
                  <w:r w:rsidR="00586BDD" w:rsidRPr="00586BDD">
                    <w:rPr>
                      <w:b/>
                    </w:rPr>
                    <w:t xml:space="preserve"> </w:t>
                  </w:r>
                  <w:r w:rsidR="009B6FFB" w:rsidRPr="009B6FFB">
                    <w:rPr>
                      <w:b/>
                    </w:rPr>
                    <w:t>Reînnoirea subscripției (suport) pentru produsele IBM Informix</w:t>
                  </w:r>
                </w:p>
              </w:tc>
            </w:tr>
            <w:tr w:rsidR="00C25482" w:rsidRPr="00155B6E" w:rsidTr="00102F1D">
              <w:trPr>
                <w:trHeight w:val="567"/>
              </w:trPr>
              <w:tc>
                <w:tcPr>
                  <w:tcW w:w="12480" w:type="dxa"/>
                  <w:gridSpan w:val="11"/>
                </w:tcPr>
                <w:p w:rsidR="00C25482" w:rsidRPr="00155B6E" w:rsidRDefault="00C25482" w:rsidP="009B6FFB">
                  <w:pPr>
                    <w:framePr w:hSpace="180" w:wrap="around" w:vAnchor="page" w:hAnchor="margin" w:y="347"/>
                  </w:pPr>
                </w:p>
              </w:tc>
              <w:tc>
                <w:tcPr>
                  <w:tcW w:w="1245" w:type="dxa"/>
                  <w:gridSpan w:val="3"/>
                </w:tcPr>
                <w:p w:rsidR="00C25482" w:rsidRPr="00155B6E" w:rsidRDefault="00C25482" w:rsidP="009B6FFB">
                  <w:pPr>
                    <w:framePr w:hSpace="180" w:wrap="around" w:vAnchor="page" w:hAnchor="margin" w:y="347"/>
                  </w:pPr>
                </w:p>
              </w:tc>
              <w:tc>
                <w:tcPr>
                  <w:tcW w:w="1950" w:type="dxa"/>
                  <w:gridSpan w:val="7"/>
                </w:tcPr>
                <w:p w:rsidR="00C25482" w:rsidRPr="00155B6E" w:rsidRDefault="00C25482" w:rsidP="009B6FFB">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Suma</w:t>
                  </w:r>
                </w:p>
                <w:p w:rsidR="00C25482" w:rsidRPr="00155B6E" w:rsidRDefault="00C25482" w:rsidP="009B6FFB">
                  <w:pPr>
                    <w:framePr w:hSpace="180" w:wrap="around" w:vAnchor="page" w:hAnchor="margin" w:y="347"/>
                    <w:jc w:val="center"/>
                    <w:rPr>
                      <w:b/>
                      <w:sz w:val="20"/>
                    </w:rPr>
                  </w:pPr>
                  <w:r w:rsidRPr="00155B6E">
                    <w:rPr>
                      <w:b/>
                      <w:sz w:val="20"/>
                    </w:rPr>
                    <w:t>fără</w:t>
                  </w:r>
                </w:p>
                <w:p w:rsidR="00C25482" w:rsidRPr="00155B6E" w:rsidRDefault="00C25482" w:rsidP="009B6FFB">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rPr>
                  </w:pPr>
                  <w:r w:rsidRPr="00155B6E">
                    <w:rPr>
                      <w:b/>
                      <w:sz w:val="20"/>
                    </w:rPr>
                    <w:t>Suma</w:t>
                  </w:r>
                </w:p>
                <w:p w:rsidR="00C25482" w:rsidRPr="00155B6E" w:rsidRDefault="00C25482" w:rsidP="009B6FFB">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9B6FFB">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b/>
                      <w:sz w:val="20"/>
                      <w:szCs w:val="28"/>
                    </w:rPr>
                  </w:pPr>
                  <w:r w:rsidRPr="00155B6E">
                    <w:rPr>
                      <w:b/>
                      <w:sz w:val="20"/>
                      <w:szCs w:val="28"/>
                    </w:rPr>
                    <w:t>Discount</w:t>
                  </w:r>
                </w:p>
                <w:p w:rsidR="00C25482" w:rsidRPr="00155B6E" w:rsidRDefault="00C25482" w:rsidP="009B6FFB">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sz w:val="20"/>
                    </w:rPr>
                  </w:pPr>
                </w:p>
              </w:tc>
            </w:tr>
            <w:tr w:rsidR="00760D22" w:rsidRPr="00155B6E" w:rsidTr="00F301DC">
              <w:trPr>
                <w:gridAfter w:val="2"/>
                <w:wAfter w:w="457" w:type="dxa"/>
                <w:trHeight w:val="397"/>
              </w:trPr>
              <w:tc>
                <w:tcPr>
                  <w:tcW w:w="1195" w:type="dxa"/>
                  <w:vMerge w:val="restart"/>
                  <w:tcBorders>
                    <w:top w:val="single" w:sz="4" w:space="0" w:color="auto"/>
                    <w:left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r w:rsidRPr="00B16D57">
                    <w:rPr>
                      <w:sz w:val="20"/>
                    </w:rPr>
                    <w:t>48600000-4</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760D22" w:rsidRPr="00FF050D" w:rsidRDefault="00760D22" w:rsidP="00760D22">
                  <w:pPr>
                    <w:tabs>
                      <w:tab w:val="left" w:pos="360"/>
                    </w:tabs>
                    <w:rPr>
                      <w:rFonts w:eastAsia="Times New Roman"/>
                      <w:bCs/>
                      <w:color w:val="000000"/>
                      <w:sz w:val="20"/>
                      <w:szCs w:val="20"/>
                    </w:rPr>
                  </w:pPr>
                  <w:r>
                    <w:rPr>
                      <w:rFonts w:eastAsia="Times New Roman"/>
                      <w:bCs/>
                      <w:color w:val="000000"/>
                      <w:sz w:val="20"/>
                      <w:szCs w:val="20"/>
                    </w:rPr>
                    <w:t xml:space="preserve">Reînnoirea </w:t>
                  </w:r>
                  <w:r w:rsidRPr="00FF050D">
                    <w:rPr>
                      <w:rFonts w:eastAsia="Times New Roman"/>
                      <w:bCs/>
                      <w:color w:val="000000"/>
                      <w:sz w:val="20"/>
                      <w:szCs w:val="20"/>
                    </w:rPr>
                    <w:t>subscripției (suport) pentru produsele IBM Informix enterprise edition CPU</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760D22" w:rsidRPr="00FF050D" w:rsidRDefault="00760D22" w:rsidP="00760D22">
                  <w:pPr>
                    <w:jc w:val="center"/>
                    <w:outlineLvl w:val="0"/>
                    <w:rPr>
                      <w:sz w:val="20"/>
                      <w:szCs w:val="20"/>
                    </w:rPr>
                  </w:pPr>
                  <w:r w:rsidRPr="00FF050D">
                    <w:rPr>
                      <w:sz w:val="20"/>
                      <w:szCs w:val="20"/>
                    </w:rPr>
                    <w:t>Processor Value Unit (PVU)</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760D22" w:rsidRPr="00FF050D" w:rsidRDefault="00760D22" w:rsidP="00760D22">
                  <w:pPr>
                    <w:jc w:val="center"/>
                    <w:outlineLvl w:val="0"/>
                    <w:rPr>
                      <w:sz w:val="20"/>
                      <w:szCs w:val="20"/>
                    </w:rPr>
                  </w:pPr>
                  <w:r w:rsidRPr="00FF050D">
                    <w:rPr>
                      <w:sz w:val="20"/>
                      <w:szCs w:val="20"/>
                    </w:rPr>
                    <w:t>200</w:t>
                  </w:r>
                </w:p>
              </w:tc>
              <w:tc>
                <w:tcPr>
                  <w:tcW w:w="1360"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760D22" w:rsidRPr="00155B6E" w:rsidRDefault="00760D22" w:rsidP="00760D22">
                  <w:pPr>
                    <w:framePr w:hSpace="180" w:wrap="around" w:vAnchor="page" w:hAnchor="margin" w:y="347"/>
                    <w:jc w:val="center"/>
                    <w:rPr>
                      <w:sz w:val="20"/>
                    </w:rPr>
                  </w:pPr>
                  <w:r w:rsidRPr="00760D22">
                    <w:rPr>
                      <w:i/>
                      <w:sz w:val="20"/>
                    </w:rPr>
                    <w:t>Furnizorul va asigura livrarea și reînnoirea licenței până la data de 01.10.2024</w:t>
                  </w:r>
                  <w:bookmarkStart w:id="19" w:name="_GoBack"/>
                  <w:bookmarkEnd w:id="19"/>
                  <w:r w:rsidRPr="00102F1D">
                    <w:rPr>
                      <w:i/>
                      <w:sz w:val="20"/>
                    </w:rPr>
                    <w:t>.</w:t>
                  </w:r>
                </w:p>
              </w:tc>
              <w:tc>
                <w:tcPr>
                  <w:tcW w:w="1245" w:type="dxa"/>
                  <w:gridSpan w:val="4"/>
                  <w:tcBorders>
                    <w:top w:val="single" w:sz="4" w:space="0" w:color="auto"/>
                    <w:left w:val="single" w:sz="4" w:space="0" w:color="auto"/>
                    <w:bottom w:val="single" w:sz="4" w:space="0" w:color="auto"/>
                    <w:right w:val="single" w:sz="4" w:space="0" w:color="auto"/>
                  </w:tcBorders>
                </w:tcPr>
                <w:p w:rsidR="00760D22" w:rsidRPr="00155B6E" w:rsidRDefault="00760D22" w:rsidP="00760D2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760D22" w:rsidRPr="00155B6E" w:rsidRDefault="00760D22" w:rsidP="00760D22">
                  <w:pPr>
                    <w:framePr w:hSpace="180" w:wrap="around" w:vAnchor="page" w:hAnchor="margin" w:y="347"/>
                    <w:rPr>
                      <w:sz w:val="20"/>
                    </w:rPr>
                  </w:pPr>
                </w:p>
              </w:tc>
            </w:tr>
            <w:tr w:rsidR="00760D22" w:rsidRPr="00155B6E" w:rsidTr="00F301DC">
              <w:trPr>
                <w:gridAfter w:val="2"/>
                <w:wAfter w:w="457" w:type="dxa"/>
                <w:trHeight w:val="397"/>
              </w:trPr>
              <w:tc>
                <w:tcPr>
                  <w:tcW w:w="1195" w:type="dxa"/>
                  <w:vMerge/>
                  <w:tcBorders>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760D22" w:rsidRPr="00FF050D" w:rsidRDefault="00760D22" w:rsidP="00760D22">
                  <w:pPr>
                    <w:tabs>
                      <w:tab w:val="left" w:pos="360"/>
                    </w:tabs>
                    <w:autoSpaceDE w:val="0"/>
                    <w:autoSpaceDN w:val="0"/>
                    <w:adjustRightInd w:val="0"/>
                    <w:rPr>
                      <w:color w:val="000000"/>
                      <w:sz w:val="20"/>
                      <w:szCs w:val="20"/>
                    </w:rPr>
                  </w:pPr>
                  <w:r>
                    <w:rPr>
                      <w:rFonts w:eastAsia="Times New Roman"/>
                      <w:bCs/>
                      <w:color w:val="000000"/>
                      <w:sz w:val="20"/>
                      <w:szCs w:val="20"/>
                    </w:rPr>
                    <w:t xml:space="preserve">Reînnoirea </w:t>
                  </w:r>
                  <w:r w:rsidRPr="00FF050D">
                    <w:rPr>
                      <w:rFonts w:eastAsia="Times New Roman"/>
                      <w:bCs/>
                      <w:color w:val="000000"/>
                      <w:sz w:val="20"/>
                      <w:szCs w:val="20"/>
                    </w:rPr>
                    <w:t>subscripției (suport) pentru produsele IBM Informix client SDK</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760D22" w:rsidRPr="00FF050D" w:rsidRDefault="00760D22" w:rsidP="00760D22">
                  <w:pPr>
                    <w:tabs>
                      <w:tab w:val="left" w:pos="360"/>
                    </w:tabs>
                    <w:autoSpaceDE w:val="0"/>
                    <w:autoSpaceDN w:val="0"/>
                    <w:adjustRightInd w:val="0"/>
                    <w:jc w:val="center"/>
                    <w:rPr>
                      <w:color w:val="000000"/>
                      <w:sz w:val="20"/>
                      <w:szCs w:val="20"/>
                    </w:rPr>
                  </w:pPr>
                  <w:r w:rsidRPr="00FF050D">
                    <w:rPr>
                      <w:sz w:val="20"/>
                      <w:szCs w:val="20"/>
                    </w:rPr>
                    <w:t>User</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760D22" w:rsidRPr="00FF050D" w:rsidRDefault="00760D22" w:rsidP="00760D22">
                  <w:pPr>
                    <w:tabs>
                      <w:tab w:val="left" w:pos="360"/>
                    </w:tabs>
                    <w:autoSpaceDE w:val="0"/>
                    <w:autoSpaceDN w:val="0"/>
                    <w:adjustRightInd w:val="0"/>
                    <w:jc w:val="center"/>
                    <w:rPr>
                      <w:color w:val="000000"/>
                      <w:sz w:val="20"/>
                      <w:szCs w:val="20"/>
                    </w:rPr>
                  </w:pPr>
                  <w:r w:rsidRPr="00FF050D">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760D22" w:rsidRPr="00155B6E" w:rsidRDefault="00760D22" w:rsidP="00760D22">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760D22" w:rsidRDefault="00760D22" w:rsidP="00760D22">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760D22" w:rsidRPr="00155B6E" w:rsidRDefault="00760D22" w:rsidP="00760D22">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760D22" w:rsidRPr="00155B6E" w:rsidRDefault="00760D22" w:rsidP="00760D22">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6FFB">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6FFB">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9B6FFB">
                  <w:pPr>
                    <w:framePr w:hSpace="180" w:wrap="around" w:vAnchor="page" w:hAnchor="margin" w:y="347"/>
                    <w:tabs>
                      <w:tab w:val="left" w:pos="6120"/>
                    </w:tabs>
                    <w:rPr>
                      <w:sz w:val="20"/>
                    </w:rPr>
                  </w:pPr>
                </w:p>
                <w:p w:rsidR="00C25482" w:rsidRPr="00155B6E" w:rsidRDefault="00C25482" w:rsidP="009B6FFB">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9B6FFB">
                  <w:pPr>
                    <w:framePr w:hSpace="180" w:wrap="around" w:vAnchor="page" w:hAnchor="margin" w:y="347"/>
                    <w:rPr>
                      <w:sz w:val="20"/>
                    </w:rPr>
                  </w:pPr>
                </w:p>
                <w:p w:rsidR="00C25482" w:rsidRPr="00155B6E" w:rsidRDefault="00C25482" w:rsidP="009B6FFB">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9B6FFB">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9B6FFB">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9B6FFB">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9B6FFB" w:rsidRPr="009B6FFB">
        <w:rPr>
          <w:b/>
          <w:bCs/>
          <w:noProof w:val="0"/>
        </w:rPr>
        <w:t>ocds-b3wdp1-MD-1724416535457</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EC0145" w:rsidRPr="00EC0145">
              <w:rPr>
                <w:b/>
                <w:i/>
              </w:rPr>
              <w:t xml:space="preserve">Reînnoirea </w:t>
            </w:r>
            <w:r w:rsidR="009B6FFB" w:rsidRPr="009B6FFB">
              <w:rPr>
                <w:b/>
                <w:i/>
              </w:rPr>
              <w:t>subscripției (suport) pentru produsele IBM Informix</w:t>
            </w:r>
          </w:p>
          <w:p w:rsidR="00B56360" w:rsidRPr="00155B6E" w:rsidRDefault="00B56360" w:rsidP="00B56360">
            <w:pPr>
              <w:jc w:val="both"/>
              <w:rPr>
                <w:i/>
              </w:rPr>
            </w:pPr>
            <w:r w:rsidRPr="00155B6E">
              <w:rPr>
                <w:i/>
              </w:rPr>
              <w:t xml:space="preserve">Cod CPV: </w:t>
            </w:r>
            <w:r w:rsidR="00B16D57" w:rsidRPr="00B16D57">
              <w:rPr>
                <w:b/>
                <w:i/>
              </w:rPr>
              <w:t>48600000-4</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16D57" w:rsidRPr="00B16D57">
              <w:rPr>
                <w:i/>
                <w:iCs/>
              </w:rPr>
              <w:t>Bunurile vor fi livrate și predate de Vânzător, în termen de până la 10 zile lucrătoare, din data semnării Contractului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2CE" w:rsidRDefault="009F12CE" w:rsidP="00A20ACF">
      <w:r>
        <w:separator/>
      </w:r>
    </w:p>
  </w:endnote>
  <w:endnote w:type="continuationSeparator" w:id="0">
    <w:p w:rsidR="009F12CE" w:rsidRDefault="009F12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2CE" w:rsidRDefault="009F12CE" w:rsidP="00A20ACF">
      <w:r>
        <w:separator/>
      </w:r>
    </w:p>
  </w:footnote>
  <w:footnote w:type="continuationSeparator" w:id="0">
    <w:p w:rsidR="009F12CE" w:rsidRDefault="009F12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D2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FB"/>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2CE"/>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CCE49A"/>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E8C13-4192-4DB8-82F9-B2A533071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4598</Words>
  <Characters>26212</Characters>
  <Application>Microsoft Office Word</Application>
  <DocSecurity>0</DocSecurity>
  <Lines>218</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5</cp:revision>
  <cp:lastPrinted>2021-03-10T09:12:00Z</cp:lastPrinted>
  <dcterms:created xsi:type="dcterms:W3CDTF">2021-12-01T13:19:00Z</dcterms:created>
  <dcterms:modified xsi:type="dcterms:W3CDTF">2024-08-23T12:42:00Z</dcterms:modified>
</cp:coreProperties>
</file>