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4786" w:leader="none"/>
          <w:tab w:val="left" w:pos="10206" w:leader="none"/>
        </w:tabs>
        <w:bidi w:val="0"/>
        <w:ind w:left="0" w:right="0" w:hanging="0"/>
        <w:jc w:val="right"/>
        <w:rPr>
          <w:lang w:val="en-US"/>
        </w:rPr>
      </w:pPr>
      <w:r>
        <w:rPr>
          <w:sz w:val="16"/>
          <w:szCs w:val="16"/>
          <w:lang w:val="en-US"/>
        </w:rPr>
        <w:tab/>
        <w:t>Win</w:t>
      </w:r>
      <w:r>
        <w:rPr>
          <w:sz w:val="16"/>
          <w:szCs w:val="16"/>
        </w:rPr>
        <w:t>Смета2000</w:t>
      </w:r>
      <w:r>
        <w:rPr>
          <w:sz w:val="16"/>
          <w:szCs w:val="16"/>
          <w:lang w:val="en-US"/>
        </w:rPr>
        <w:t xml:space="preserve">     </w:t>
      </w:r>
    </w:p>
    <w:tbl>
      <w:tblPr>
        <w:tblW w:w="10031" w:type="dxa"/>
        <w:jc w:val="left"/>
        <w:tblInd w:w="-109" w:type="dxa"/>
        <w:tblLayout w:type="fixed"/>
        <w:tblCellMar>
          <w:top w:w="0" w:type="dxa"/>
          <w:left w:w="108" w:type="dxa"/>
          <w:bottom w:w="0" w:type="dxa"/>
          <w:right w:w="108" w:type="dxa"/>
        </w:tblCellMar>
      </w:tblPr>
      <w:tblGrid>
        <w:gridCol w:w="4785"/>
        <w:gridCol w:w="5245"/>
      </w:tblGrid>
      <w:tr>
        <w:trPr/>
        <w:tc>
          <w:tcPr>
            <w:tcW w:w="4785" w:type="dxa"/>
            <w:tcBorders>
              <w:bottom w:val="single" w:sz="6" w:space="0" w:color="000000"/>
            </w:tcBorders>
          </w:tcPr>
          <w:p>
            <w:pPr>
              <w:pStyle w:val="Normal"/>
              <w:widowControl w:val="false"/>
              <w:tabs>
                <w:tab w:val="clear" w:pos="720"/>
              </w:tabs>
              <w:bidi w:val="0"/>
              <w:ind w:left="0" w:right="0" w:hanging="0"/>
              <w:jc w:val="center"/>
              <w:rPr>
                <w:lang w:val="pt-BR"/>
              </w:rPr>
            </w:pPr>
            <w:r>
              <w:rPr>
                <w:b/>
                <w:bCs/>
                <w:sz w:val="32"/>
                <w:szCs w:val="32"/>
                <w:lang w:val="pt-BR"/>
              </w:rPr>
              <w:t>Extinderea statiei de epurare a s. Colonita mun Chisinau (37/2023-1-T</w:t>
            </w:r>
            <w:r>
              <w:rPr>
                <w:b/>
                <w:bCs/>
                <w:sz w:val="32"/>
                <w:szCs w:val="32"/>
              </w:rPr>
              <w:t>Х</w:t>
            </w:r>
            <w:r>
              <w:rPr>
                <w:b/>
                <w:bCs/>
                <w:sz w:val="32"/>
                <w:szCs w:val="32"/>
                <w:lang w:val="pt-BR"/>
              </w:rPr>
              <w:t>.CO)</w:t>
            </w:r>
          </w:p>
        </w:tc>
        <w:tc>
          <w:tcPr>
            <w:tcW w:w="5245" w:type="dxa"/>
            <w:tcBorders/>
          </w:tcPr>
          <w:p>
            <w:pPr>
              <w:pStyle w:val="Normal"/>
              <w:widowControl w:val="false"/>
              <w:tabs>
                <w:tab w:val="clear" w:pos="720"/>
              </w:tabs>
              <w:bidi w:val="0"/>
              <w:ind w:left="0" w:right="0" w:hanging="0"/>
              <w:jc w:val="right"/>
              <w:rPr>
                <w:lang w:val="en-US"/>
              </w:rPr>
            </w:pPr>
            <w:r>
              <w:rPr>
                <w:sz w:val="22"/>
                <w:szCs w:val="22"/>
                <w:lang w:val="en-US"/>
              </w:rPr>
              <w:t>Formular Nr.1</w:t>
            </w:r>
          </w:p>
        </w:tc>
      </w:tr>
      <w:tr>
        <w:trPr/>
        <w:tc>
          <w:tcPr>
            <w:tcW w:w="4785" w:type="dxa"/>
            <w:tcBorders/>
          </w:tcPr>
          <w:p>
            <w:pPr>
              <w:pStyle w:val="Normal"/>
              <w:widowControl w:val="false"/>
              <w:tabs>
                <w:tab w:val="clear" w:pos="720"/>
              </w:tabs>
              <w:bidi w:val="0"/>
              <w:ind w:left="0" w:right="0" w:hanging="0"/>
              <w:jc w:val="center"/>
              <w:rPr/>
            </w:pPr>
            <w:r>
              <w:rPr/>
              <w:t>(</w:t>
            </w:r>
            <w:r>
              <w:rPr>
                <w:lang w:val="en-US"/>
              </w:rPr>
              <w:t>denumirea obiectivului)</w:t>
            </w:r>
          </w:p>
        </w:tc>
        <w:tc>
          <w:tcPr>
            <w:tcW w:w="5245" w:type="dxa"/>
            <w:tcBorders/>
          </w:tcPr>
          <w:p>
            <w:pPr>
              <w:pStyle w:val="Normal"/>
              <w:widowControl w:val="false"/>
              <w:tabs>
                <w:tab w:val="clear" w:pos="720"/>
              </w:tabs>
              <w:bidi w:val="0"/>
              <w:ind w:left="0" w:right="0" w:hanging="0"/>
              <w:jc w:val="center"/>
              <w:rPr>
                <w:rFonts w:ascii="Times New Roman" w:hAnsi="Times New Roman"/>
              </w:rPr>
            </w:pPr>
            <w:r>
              <w:rPr/>
            </w:r>
          </w:p>
        </w:tc>
      </w:tr>
    </w:tbl>
    <w:p>
      <w:pPr>
        <w:pStyle w:val="Normal"/>
        <w:widowControl w:val="false"/>
        <w:bidi w:val="0"/>
        <w:ind w:left="0" w:right="0" w:hanging="0"/>
        <w:rPr>
          <w:rFonts w:ascii="Times New Roman" w:hAnsi="Times New Roman"/>
        </w:rPr>
      </w:pPr>
      <w:r>
        <w:rPr/>
      </w:r>
    </w:p>
    <w:p>
      <w:pPr>
        <w:pStyle w:val="Normal"/>
        <w:bidi w:val="0"/>
        <w:ind w:left="0" w:right="0" w:hanging="0"/>
        <w:jc w:val="center"/>
        <w:rPr>
          <w:lang w:val="pt-BR"/>
        </w:rPr>
      </w:pPr>
      <w:r>
        <w:rPr>
          <w:b/>
          <w:bCs/>
          <w:sz w:val="40"/>
          <w:szCs w:val="40"/>
          <w:lang w:val="pt-BR"/>
        </w:rPr>
        <w:t>Lista cu cantita</w:t>
      </w:r>
      <w:r>
        <w:rPr>
          <w:b/>
          <w:bCs/>
          <w:sz w:val="40"/>
          <w:szCs w:val="40"/>
          <w:lang w:val="ro-RO"/>
        </w:rPr>
        <w:t>ţile de lucrări</w:t>
      </w:r>
      <w:r>
        <w:rPr>
          <w:b/>
          <w:bCs/>
          <w:sz w:val="40"/>
          <w:szCs w:val="40"/>
          <w:lang w:val="pt-BR"/>
        </w:rPr>
        <w:t xml:space="preserve"> № 2-1-2</w:t>
      </w:r>
    </w:p>
    <w:p>
      <w:pPr>
        <w:pStyle w:val="Normal"/>
        <w:bidi w:val="0"/>
        <w:ind w:left="0" w:right="0" w:hanging="0"/>
        <w:rPr>
          <w:rFonts w:ascii="Times New Roman" w:hAnsi="Times New Roman"/>
          <w:sz w:val="24"/>
          <w:szCs w:val="24"/>
          <w:lang w:val="pt-BR"/>
        </w:rPr>
      </w:pPr>
      <w:r>
        <w:rPr>
          <w:sz w:val="24"/>
          <w:szCs w:val="24"/>
          <w:lang w:val="pt-BR"/>
        </w:rPr>
      </w:r>
    </w:p>
    <w:tbl>
      <w:tblPr>
        <w:tblW w:w="9781" w:type="dxa"/>
        <w:jc w:val="left"/>
        <w:tblInd w:w="141" w:type="dxa"/>
        <w:tblLayout w:type="fixed"/>
        <w:tblCellMar>
          <w:top w:w="0" w:type="dxa"/>
          <w:left w:w="108" w:type="dxa"/>
          <w:bottom w:w="0" w:type="dxa"/>
          <w:right w:w="108" w:type="dxa"/>
        </w:tblCellMar>
      </w:tblPr>
      <w:tblGrid>
        <w:gridCol w:w="709"/>
        <w:gridCol w:w="1559"/>
        <w:gridCol w:w="4678"/>
        <w:gridCol w:w="992"/>
        <w:gridCol w:w="1843"/>
      </w:tblGrid>
      <w:tr>
        <w:trPr>
          <w:trHeight w:val="592" w:hRule="atLeast"/>
          <w:cantSplit w:val="true"/>
        </w:trPr>
        <w:tc>
          <w:tcPr>
            <w:tcW w:w="709" w:type="dxa"/>
            <w:tcBorders>
              <w:top w:val="single" w:sz="6" w:space="0" w:color="000000"/>
              <w:left w:val="single" w:sz="6" w:space="0" w:color="000000"/>
            </w:tcBorders>
            <w:shd w:color="auto" w:fill="auto" w:val="pct5"/>
          </w:tcPr>
          <w:p>
            <w:pPr>
              <w:pStyle w:val="Normal"/>
              <w:widowControl w:val="false"/>
              <w:tabs>
                <w:tab w:val="clear" w:pos="720"/>
              </w:tabs>
              <w:bidi w:val="0"/>
              <w:ind w:left="0" w:right="-108" w:hanging="0"/>
              <w:jc w:val="center"/>
              <w:rPr/>
            </w:pPr>
            <w:r>
              <w:rPr>
                <w:sz w:val="22"/>
                <w:szCs w:val="22"/>
              </w:rPr>
              <w:t>№</w:t>
            </w:r>
          </w:p>
          <w:p>
            <w:pPr>
              <w:pStyle w:val="Normal"/>
              <w:widowControl w:val="false"/>
              <w:tabs>
                <w:tab w:val="clear" w:pos="720"/>
              </w:tabs>
              <w:bidi w:val="0"/>
              <w:ind w:left="0" w:right="-108" w:hanging="0"/>
              <w:jc w:val="center"/>
              <w:rPr/>
            </w:pPr>
            <w:r>
              <w:rPr>
                <w:sz w:val="22"/>
                <w:szCs w:val="22"/>
              </w:rPr>
              <w:t xml:space="preserve"> </w:t>
            </w:r>
            <w:r>
              <w:rPr>
                <w:sz w:val="22"/>
                <w:szCs w:val="22"/>
                <w:lang w:val="en-US"/>
              </w:rPr>
              <w:t>crt</w:t>
            </w:r>
            <w:r>
              <w:rPr>
                <w:sz w:val="22"/>
                <w:szCs w:val="22"/>
              </w:rPr>
              <w:t>.</w:t>
            </w:r>
          </w:p>
        </w:tc>
        <w:tc>
          <w:tcPr>
            <w:tcW w:w="1559" w:type="dxa"/>
            <w:tcBorders>
              <w:top w:val="single" w:sz="6" w:space="0" w:color="000000"/>
              <w:left w:val="single" w:sz="6" w:space="0" w:color="000000"/>
            </w:tcBorders>
            <w:shd w:color="auto" w:fill="auto" w:val="pct5"/>
          </w:tcPr>
          <w:p>
            <w:pPr>
              <w:pStyle w:val="Normal"/>
              <w:widowControl w:val="false"/>
              <w:tabs>
                <w:tab w:val="clear" w:pos="720"/>
              </w:tabs>
              <w:bidi w:val="0"/>
              <w:ind w:left="-120" w:right="-108" w:hanging="0"/>
              <w:jc w:val="center"/>
              <w:rPr>
                <w:lang w:val="ro-RO"/>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000000"/>
              <w:left w:val="single" w:sz="6" w:space="0" w:color="000000"/>
            </w:tcBorders>
            <w:shd w:color="auto" w:fill="auto" w:val="pct5"/>
          </w:tcPr>
          <w:p>
            <w:pPr>
              <w:pStyle w:val="Normal"/>
              <w:widowControl w:val="false"/>
              <w:tabs>
                <w:tab w:val="clear" w:pos="720"/>
              </w:tabs>
              <w:bidi w:val="0"/>
              <w:ind w:left="0" w:right="0" w:hanging="0"/>
              <w:jc w:val="center"/>
              <w:rPr>
                <w:rFonts w:ascii="Times New Roman" w:hAnsi="Times New Roman"/>
                <w:sz w:val="22"/>
                <w:szCs w:val="22"/>
                <w:lang w:val="ro-RO"/>
              </w:rPr>
            </w:pPr>
            <w:r>
              <w:rPr>
                <w:sz w:val="22"/>
                <w:szCs w:val="22"/>
                <w:lang w:val="ro-RO"/>
              </w:rPr>
            </w:r>
          </w:p>
          <w:p>
            <w:pPr>
              <w:pStyle w:val="Normal"/>
              <w:widowControl w:val="false"/>
              <w:tabs>
                <w:tab w:val="clear" w:pos="720"/>
              </w:tabs>
              <w:bidi w:val="0"/>
              <w:ind w:left="0" w:right="0" w:hanging="0"/>
              <w:jc w:val="center"/>
              <w:rPr>
                <w:lang w:val="ro-RO"/>
              </w:rPr>
            </w:pPr>
            <w:r>
              <w:rPr>
                <w:sz w:val="22"/>
                <w:szCs w:val="22"/>
                <w:lang w:val="ro-RO"/>
              </w:rPr>
              <w:t xml:space="preserve">Denumire lucrărilor    </w:t>
            </w:r>
          </w:p>
        </w:tc>
        <w:tc>
          <w:tcPr>
            <w:tcW w:w="992" w:type="dxa"/>
            <w:tcBorders>
              <w:top w:val="single" w:sz="6" w:space="0" w:color="000000"/>
              <w:left w:val="single" w:sz="6" w:space="0" w:color="000000"/>
            </w:tcBorders>
            <w:shd w:color="auto" w:fill="auto" w:val="pct5"/>
          </w:tcPr>
          <w:p>
            <w:pPr>
              <w:pStyle w:val="Normal"/>
              <w:widowControl w:val="false"/>
              <w:tabs>
                <w:tab w:val="clear" w:pos="720"/>
              </w:tabs>
              <w:bidi w:val="0"/>
              <w:ind w:left="-108" w:right="-108" w:hanging="0"/>
              <w:jc w:val="center"/>
              <w:rPr>
                <w:lang w:val="ro-RO"/>
              </w:rPr>
            </w:pPr>
            <w:r>
              <w:rPr>
                <w:sz w:val="22"/>
                <w:szCs w:val="22"/>
                <w:lang w:val="ro-RO"/>
              </w:rPr>
              <w:t>Unitatea de masura</w:t>
            </w:r>
            <w:r>
              <w:rPr>
                <w:sz w:val="22"/>
                <w:szCs w:val="22"/>
              </w:rPr>
              <w:t xml:space="preserve"> </w:t>
            </w:r>
          </w:p>
        </w:tc>
        <w:tc>
          <w:tcPr>
            <w:tcW w:w="1843" w:type="dxa"/>
            <w:tcBorders>
              <w:top w:val="single" w:sz="6" w:space="0" w:color="000000"/>
              <w:left w:val="single" w:sz="6" w:space="0" w:color="000000"/>
              <w:right w:val="single" w:sz="6" w:space="0" w:color="000000"/>
            </w:tcBorders>
            <w:shd w:color="auto" w:fill="auto" w:val="pct5"/>
          </w:tcPr>
          <w:p>
            <w:pPr>
              <w:pStyle w:val="Normal"/>
              <w:widowControl w:val="false"/>
              <w:tabs>
                <w:tab w:val="clear" w:pos="720"/>
              </w:tabs>
              <w:bidi w:val="0"/>
              <w:ind w:left="0" w:right="0" w:hanging="0"/>
              <w:jc w:val="center"/>
              <w:rPr>
                <w:lang w:val="en-US"/>
              </w:rPr>
            </w:pPr>
            <w:r>
              <w:rPr>
                <w:sz w:val="22"/>
                <w:szCs w:val="22"/>
                <w:lang w:val="en-US"/>
              </w:rPr>
              <w:t>Volum</w:t>
            </w:r>
          </w:p>
        </w:tc>
      </w:tr>
    </w:tbl>
    <w:p>
      <w:pPr>
        <w:pStyle w:val="Normal"/>
        <w:widowControl w:val="false"/>
        <w:bidi w:val="0"/>
        <w:ind w:left="0" w:right="0" w:hanging="0"/>
        <w:rPr>
          <w:rFonts w:ascii="Times New Roman" w:hAnsi="Times New Roman"/>
          <w:sz w:val="2"/>
          <w:szCs w:val="2"/>
          <w:lang w:val="en-US"/>
        </w:rPr>
      </w:pPr>
      <w:r>
        <w:rPr>
          <w:sz w:val="2"/>
          <w:szCs w:val="2"/>
          <w:lang w:val="en-US"/>
        </w:rPr>
      </w:r>
    </w:p>
    <w:tbl>
      <w:tblPr>
        <w:tblW w:w="9781" w:type="dxa"/>
        <w:jc w:val="left"/>
        <w:tblInd w:w="141" w:type="dxa"/>
        <w:tblLayout w:type="fixed"/>
        <w:tblCellMar>
          <w:top w:w="0" w:type="dxa"/>
          <w:left w:w="108" w:type="dxa"/>
          <w:bottom w:w="0" w:type="dxa"/>
          <w:right w:w="108" w:type="dxa"/>
        </w:tblCellMar>
      </w:tblPr>
      <w:tblGrid>
        <w:gridCol w:w="709"/>
        <w:gridCol w:w="1559"/>
        <w:gridCol w:w="4678"/>
        <w:gridCol w:w="992"/>
        <w:gridCol w:w="1843"/>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0" w:right="-108" w:hanging="0"/>
              <w:jc w:val="center"/>
              <w:rPr/>
            </w:pPr>
            <w:r>
              <w:rPr>
                <w:sz w:val="22"/>
                <w:szCs w:val="22"/>
              </w:rPr>
              <w:t>1</w:t>
            </w:r>
          </w:p>
        </w:tc>
        <w:tc>
          <w:tcPr>
            <w:tcW w:w="1559"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120" w:right="-108" w:hanging="0"/>
              <w:jc w:val="center"/>
              <w:rPr/>
            </w:pPr>
            <w:r>
              <w:rPr>
                <w:sz w:val="22"/>
                <w:szCs w:val="22"/>
              </w:rPr>
              <w:t>2</w:t>
            </w:r>
          </w:p>
        </w:tc>
        <w:tc>
          <w:tcPr>
            <w:tcW w:w="4678"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0" w:right="0" w:hanging="0"/>
              <w:jc w:val="center"/>
              <w:rPr/>
            </w:pPr>
            <w:r>
              <w:rPr>
                <w:sz w:val="22"/>
                <w:szCs w:val="22"/>
              </w:rPr>
              <w:t>3</w:t>
            </w:r>
          </w:p>
        </w:tc>
        <w:tc>
          <w:tcPr>
            <w:tcW w:w="992" w:type="dxa"/>
            <w:tcBorders>
              <w:top w:val="single" w:sz="6" w:space="0" w:color="000000"/>
              <w:left w:val="single" w:sz="6" w:space="0" w:color="000000"/>
              <w:bottom w:val="double" w:sz="6" w:space="0" w:color="000000"/>
            </w:tcBorders>
            <w:shd w:color="auto" w:fill="auto" w:val="pct5"/>
          </w:tcPr>
          <w:p>
            <w:pPr>
              <w:pStyle w:val="Normal"/>
              <w:widowControl w:val="false"/>
              <w:tabs>
                <w:tab w:val="clear" w:pos="720"/>
              </w:tabs>
              <w:bidi w:val="0"/>
              <w:ind w:left="-108" w:right="-108" w:hanging="0"/>
              <w:jc w:val="center"/>
              <w:rPr/>
            </w:pPr>
            <w:r>
              <w:rPr>
                <w:sz w:val="22"/>
                <w:szCs w:val="22"/>
              </w:rPr>
              <w:t>4</w:t>
            </w:r>
          </w:p>
        </w:tc>
        <w:tc>
          <w:tcPr>
            <w:tcW w:w="1843" w:type="dxa"/>
            <w:tcBorders>
              <w:top w:val="single" w:sz="6" w:space="0" w:color="000000"/>
              <w:left w:val="single" w:sz="6" w:space="0" w:color="000000"/>
              <w:bottom w:val="double" w:sz="6" w:space="0" w:color="000000"/>
              <w:right w:val="single" w:sz="6" w:space="0" w:color="000000"/>
            </w:tcBorders>
            <w:shd w:color="auto" w:fill="auto" w:val="pct5"/>
          </w:tcPr>
          <w:p>
            <w:pPr>
              <w:pStyle w:val="Normal"/>
              <w:widowControl w:val="false"/>
              <w:tabs>
                <w:tab w:val="clear" w:pos="720"/>
              </w:tabs>
              <w:bidi w:val="0"/>
              <w:ind w:left="0" w:right="0" w:hanging="0"/>
              <w:jc w:val="center"/>
              <w:rPr>
                <w:lang w:val="en-US"/>
              </w:rPr>
            </w:pPr>
            <w:r>
              <w:rPr>
                <w:sz w:val="22"/>
                <w:szCs w:val="22"/>
                <w:lang w:val="en-US"/>
              </w:rPr>
              <w:t>5</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lang w:val="pt-BR"/>
              </w:rPr>
            </w:pPr>
            <w:r>
              <w:rPr>
                <w:b/>
                <w:bCs/>
                <w:sz w:val="22"/>
                <w:szCs w:val="22"/>
                <w:lang w:val="pt-BR"/>
              </w:rPr>
              <w:t xml:space="preserve">1. Statia de tratare biologica BIOFIX. </w:t>
            </w:r>
            <w:r>
              <w:rPr>
                <w:b/>
                <w:bCs/>
                <w:sz w:val="22"/>
                <w:szCs w:val="22"/>
              </w:rPr>
              <w:t>(poz.1)</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left w:val="single" w:sz="6" w:space="0" w:color="000000"/>
            </w:tcBorders>
          </w:tcPr>
          <w:p>
            <w:pPr>
              <w:pStyle w:val="Normal"/>
              <w:widowControl w:val="false"/>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bidi w:val="0"/>
              <w:ind w:left="0" w:right="0" w:hanging="0"/>
              <w:rPr/>
            </w:pPr>
            <w:r>
              <w:rPr>
                <w:b/>
                <w:bCs/>
                <w:sz w:val="22"/>
                <w:szCs w:val="22"/>
              </w:rPr>
              <w:t>1.1. Водопровод и канализация.</w:t>
            </w:r>
          </w:p>
        </w:tc>
        <w:tc>
          <w:tcPr>
            <w:tcW w:w="992" w:type="dxa"/>
            <w:tcBorders>
              <w:left w:val="single" w:sz="6" w:space="0" w:color="000000"/>
            </w:tcBorders>
          </w:tcPr>
          <w:p>
            <w:pPr>
              <w:pStyle w:val="Normal"/>
              <w:widowControl w:val="false"/>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1</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AcA52A</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pt-BR"/>
              </w:rPr>
            </w:pPr>
            <w:r>
              <w:rPr>
                <w:lang w:val="pt-BR"/>
              </w:rPr>
              <w:t>Teava din polietilena, pentru conducte de alimentare cu apa montata in sant, cu diametrul de 20, 25, 32, 40, 50, 63 mm. Nota: tipul tevii polietilena si banzii de avertizare se va include conform proiectului  (T</w:t>
            </w:r>
            <w:r>
              <w:rPr/>
              <w:t>руба</w:t>
            </w:r>
            <w:r>
              <w:rPr>
                <w:lang w:val="pt-BR"/>
              </w:rPr>
              <w:t xml:space="preserve"> </w:t>
            </w:r>
            <w:r>
              <w:rPr/>
              <w:t>полиэтиленовая</w:t>
            </w:r>
            <w:r>
              <w:rPr>
                <w:lang w:val="pt-BR"/>
              </w:rPr>
              <w:t xml:space="preserve">  PE 100  PN10  SDR 17 25x2,0)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7,00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AcF11A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Spalarea conductelor din otel  pina la 2", de apa potabila dupa montarea si imbinarea, inaintea receptiei</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7,00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3</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AcF12A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 xml:space="preserve">Proba de presiune a conductelor din polietilena montate in transee pentru retelele de alimentare cu apa si canalizare, cu diametru  pina la 100 mm </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7,00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4</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AcA54A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mecanic (insurubare). Imbinare mecanica intre teava si fiting (mufe, teu, cot) din polietilena, tevile avind diametrul de 20-40 mm. Nota: tipul fitingului din polietilena (mufe, teu, cot)  se va include conform proiectului (</w:t>
            </w:r>
            <w:r>
              <w:rPr/>
              <w:t>Тройник</w:t>
            </w:r>
            <w:r>
              <w:rPr>
                <w:lang w:val="pt-BR"/>
              </w:rPr>
              <w:t xml:space="preserve"> PE  </w:t>
            </w:r>
            <w:r>
              <w:rPr/>
              <w:t>зажимной</w:t>
            </w:r>
            <w:r>
              <w:rPr>
                <w:lang w:val="pt-BR"/>
              </w:rPr>
              <w:t xml:space="preserve"> </w:t>
            </w:r>
            <w:r>
              <w:rPr/>
              <w:t>ф</w:t>
            </w:r>
            <w:r>
              <w:rPr>
                <w:lang w:val="pt-BR"/>
              </w:rPr>
              <w:t>25x3/4''x25)</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2,00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5</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SD06B</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Robinet de trecere cu mufa si racord olandez, pentru teava din otel, avind diametrul de 3/4"  (</w:t>
            </w:r>
            <w:r>
              <w:rPr/>
              <w:t>Вентиль</w:t>
            </w:r>
            <w:r>
              <w:rPr>
                <w:lang w:val="pt-BR"/>
              </w:rPr>
              <w:t xml:space="preserve"> 3/4'')</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3,00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6</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AcA54A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mecanic (insurubare). Imbinare mecanica intre teava si fiting (mufe, teu, cot) din polietilena, tevile avind diametrul de 20-40 mm. Nota: tipul fitingului din polietilena (mufe, teu, cot)  se va include conform proiectului (</w:t>
            </w:r>
            <w:r>
              <w:rPr/>
              <w:t>Муфта</w:t>
            </w:r>
            <w:r>
              <w:rPr>
                <w:lang w:val="pt-BR"/>
              </w:rPr>
              <w:t xml:space="preserve"> </w:t>
            </w:r>
            <w:r>
              <w:rPr/>
              <w:t>зажимная</w:t>
            </w:r>
            <w:r>
              <w:rPr>
                <w:lang w:val="pt-BR"/>
              </w:rPr>
              <w:t xml:space="preserve"> </w:t>
            </w:r>
            <w:r>
              <w:rPr/>
              <w:t>ф</w:t>
            </w:r>
            <w:r>
              <w:rPr>
                <w:lang w:val="pt-BR"/>
              </w:rPr>
              <w:t>25x3/4'')</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7,00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7</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SB08C</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Teva din material plastic pentru canalizare, imbinata cu garnitura de cauciuc, montata aparent sau ingropat sub pardoseala, avind diametrul de 50 mm (</w:t>
            </w:r>
            <w:r>
              <w:rPr/>
              <w:t>Труба</w:t>
            </w:r>
            <w:r>
              <w:rPr>
                <w:lang w:val="pt-BR"/>
              </w:rPr>
              <w:t xml:space="preserve"> </w:t>
            </w:r>
            <w:r>
              <w:rPr/>
              <w:t>канализационная</w:t>
            </w:r>
            <w:r>
              <w:rPr>
                <w:lang w:val="pt-BR"/>
              </w:rPr>
              <w:t xml:space="preserve"> </w:t>
            </w:r>
            <w:r>
              <w:rPr/>
              <w:t>из</w:t>
            </w:r>
            <w:r>
              <w:rPr>
                <w:lang w:val="pt-BR"/>
              </w:rPr>
              <w:t xml:space="preserve"> </w:t>
            </w:r>
            <w:r>
              <w:rPr/>
              <w:t>ПВХ</w:t>
            </w:r>
            <w:r>
              <w:rPr>
                <w:lang w:val="pt-BR"/>
              </w:rPr>
              <w:t xml:space="preserve">  </w:t>
            </w:r>
            <w:r>
              <w:rPr/>
              <w:t>ф</w:t>
            </w:r>
            <w:r>
              <w:rPr>
                <w:lang w:val="pt-BR"/>
              </w:rPr>
              <w:t>50)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8</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IzH05A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t>Izolarea conductelor cu saltele din vata de sticla, vata minerala tip I sau tip P cusute pe o fata, pe impletitura din sirma zincata, confectionate pe santier, avind grosimea de 20; 30; 40; 50 sau 60 mm, la conducte cu circumferinta peste termoizolatie sub 35 cm, inclusiv( Изоляция  cтекловолокнистым матом кашированный алюминиевой  фольгой   толщ.40мм-(IZOTEC MAT -AL)</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m2</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2,00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9</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SC06A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lang w:val="en-US"/>
              </w:rPr>
              <w:t>Spalator</w:t>
            </w:r>
            <w:r>
              <w:rPr/>
              <w:t xml:space="preserve"> </w:t>
            </w:r>
            <w:r>
              <w:rPr>
                <w:lang w:val="en-US"/>
              </w:rPr>
              <w:t>cu</w:t>
            </w:r>
            <w:r>
              <w:rPr/>
              <w:t xml:space="preserve"> </w:t>
            </w:r>
            <w:r>
              <w:rPr>
                <w:lang w:val="en-US"/>
              </w:rPr>
              <w:t>picurator</w:t>
            </w:r>
            <w:r>
              <w:rPr/>
              <w:t xml:space="preserve"> (</w:t>
            </w:r>
            <w:r>
              <w:rPr>
                <w:lang w:val="en-US"/>
              </w:rPr>
              <w:t>cu</w:t>
            </w:r>
            <w:r>
              <w:rPr/>
              <w:t xml:space="preserve"> </w:t>
            </w:r>
            <w:r>
              <w:rPr>
                <w:lang w:val="en-US"/>
              </w:rPr>
              <w:t>un</w:t>
            </w:r>
            <w:r>
              <w:rPr/>
              <w:t xml:space="preserve"> </w:t>
            </w:r>
            <w:r>
              <w:rPr>
                <w:lang w:val="en-US"/>
              </w:rPr>
              <w:t>compartiment</w:t>
            </w:r>
            <w:r>
              <w:rPr/>
              <w:t xml:space="preserve">) </w:t>
            </w:r>
            <w:r>
              <w:rPr>
                <w:lang w:val="en-US"/>
              </w:rPr>
              <w:t>pentru</w:t>
            </w:r>
            <w:r>
              <w:rPr/>
              <w:t xml:space="preserve"> </w:t>
            </w:r>
            <w:r>
              <w:rPr>
                <w:lang w:val="en-US"/>
              </w:rPr>
              <w:t>vase</w:t>
            </w:r>
            <w:r>
              <w:rPr/>
              <w:t xml:space="preserve">, </w:t>
            </w:r>
            <w:r>
              <w:rPr>
                <w:lang w:val="en-US"/>
              </w:rPr>
              <w:t>din</w:t>
            </w:r>
            <w:r>
              <w:rPr/>
              <w:t xml:space="preserve"> </w:t>
            </w:r>
            <w:r>
              <w:rPr>
                <w:lang w:val="en-US"/>
              </w:rPr>
              <w:t>fonta</w:t>
            </w:r>
            <w:r>
              <w:rPr/>
              <w:t xml:space="preserve"> </w:t>
            </w:r>
            <w:r>
              <w:rPr>
                <w:lang w:val="en-US"/>
              </w:rPr>
              <w:t>emailata</w:t>
            </w:r>
            <w:r>
              <w:rPr/>
              <w:t xml:space="preserve">, </w:t>
            </w:r>
            <w:r>
              <w:rPr>
                <w:lang w:val="en-US"/>
              </w:rPr>
              <w:t>tabla</w:t>
            </w:r>
            <w:r>
              <w:rPr/>
              <w:t xml:space="preserve"> </w:t>
            </w:r>
            <w:r>
              <w:rPr>
                <w:lang w:val="en-US"/>
              </w:rPr>
              <w:t>emailata</w:t>
            </w:r>
            <w:r>
              <w:rPr/>
              <w:t xml:space="preserve">, </w:t>
            </w:r>
            <w:r>
              <w:rPr>
                <w:lang w:val="en-US"/>
              </w:rPr>
              <w:t>inox</w:t>
            </w:r>
            <w:r>
              <w:rPr/>
              <w:t xml:space="preserve">, </w:t>
            </w:r>
            <w:r>
              <w:rPr>
                <w:lang w:val="en-US"/>
              </w:rPr>
              <w:t>etc</w:t>
            </w:r>
            <w:r>
              <w:rPr/>
              <w:t xml:space="preserve">., </w:t>
            </w:r>
            <w:r>
              <w:rPr>
                <w:lang w:val="en-US"/>
              </w:rPr>
              <w:t>avind</w:t>
            </w:r>
            <w:r>
              <w:rPr/>
              <w:t xml:space="preserve"> </w:t>
            </w:r>
            <w:r>
              <w:rPr>
                <w:lang w:val="en-US"/>
              </w:rPr>
              <w:t>teava</w:t>
            </w:r>
            <w:r>
              <w:rPr/>
              <w:t xml:space="preserve"> </w:t>
            </w:r>
            <w:r>
              <w:rPr>
                <w:lang w:val="en-US"/>
              </w:rPr>
              <w:t>de</w:t>
            </w:r>
            <w:r>
              <w:rPr/>
              <w:t xml:space="preserve"> </w:t>
            </w:r>
            <w:r>
              <w:rPr>
                <w:lang w:val="en-US"/>
              </w:rPr>
              <w:t>scurgere</w:t>
            </w:r>
            <w:r>
              <w:rPr/>
              <w:t xml:space="preserve"> </w:t>
            </w:r>
            <w:r>
              <w:rPr>
                <w:lang w:val="en-US"/>
              </w:rPr>
              <w:t>din</w:t>
            </w:r>
            <w:r>
              <w:rPr/>
              <w:t xml:space="preserve"> </w:t>
            </w:r>
            <w:r>
              <w:rPr>
                <w:lang w:val="en-US"/>
              </w:rPr>
              <w:t>material</w:t>
            </w:r>
            <w:r>
              <w:rPr/>
              <w:t xml:space="preserve"> </w:t>
            </w:r>
            <w:r>
              <w:rPr>
                <w:lang w:val="en-US"/>
              </w:rPr>
              <w:t>plastic</w:t>
            </w:r>
            <w:r>
              <w:rPr/>
              <w:t xml:space="preserve">, </w:t>
            </w:r>
            <w:r>
              <w:rPr>
                <w:lang w:val="en-US"/>
              </w:rPr>
              <w:t>montat</w:t>
            </w:r>
            <w:r>
              <w:rPr/>
              <w:t xml:space="preserve"> </w:t>
            </w:r>
            <w:r>
              <w:rPr>
                <w:lang w:val="en-US"/>
              </w:rPr>
              <w:t>pe</w:t>
            </w:r>
            <w:r>
              <w:rPr/>
              <w:t xml:space="preserve"> </w:t>
            </w:r>
            <w:r>
              <w:rPr>
                <w:lang w:val="en-US"/>
              </w:rPr>
              <w:t>console</w:t>
            </w:r>
            <w:r>
              <w:rPr/>
              <w:t xml:space="preserve"> </w:t>
            </w:r>
            <w:r>
              <w:rPr>
                <w:lang w:val="en-US"/>
              </w:rPr>
              <w:t>fixate</w:t>
            </w:r>
            <w:r>
              <w:rPr/>
              <w:t xml:space="preserve"> </w:t>
            </w:r>
            <w:r>
              <w:rPr>
                <w:lang w:val="en-US"/>
              </w:rPr>
              <w:t>pe</w:t>
            </w:r>
            <w:r>
              <w:rPr/>
              <w:t xml:space="preserve"> </w:t>
            </w:r>
            <w:r>
              <w:rPr>
                <w:lang w:val="en-US"/>
              </w:rPr>
              <w:t>pereti</w:t>
            </w:r>
            <w:r>
              <w:rPr/>
              <w:t xml:space="preserve"> </w:t>
            </w:r>
            <w:r>
              <w:rPr>
                <w:lang w:val="en-US"/>
              </w:rPr>
              <w:t>din</w:t>
            </w:r>
            <w:r>
              <w:rPr/>
              <w:t xml:space="preserve"> </w:t>
            </w:r>
            <w:r>
              <w:rPr>
                <w:lang w:val="en-US"/>
              </w:rPr>
              <w:t>zidarie</w:t>
            </w:r>
            <w:r>
              <w:rPr/>
              <w:t xml:space="preserve"> </w:t>
            </w:r>
            <w:r>
              <w:rPr>
                <w:lang w:val="en-US"/>
              </w:rPr>
              <w:t>de</w:t>
            </w:r>
            <w:r>
              <w:rPr/>
              <w:t xml:space="preserve"> </w:t>
            </w:r>
            <w:r>
              <w:rPr>
                <w:lang w:val="en-US"/>
              </w:rPr>
              <w:t>caramida</w:t>
            </w:r>
            <w:r>
              <w:rPr/>
              <w:t xml:space="preserve"> (Раковина из нержавеющей стали с сифоном)</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10</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SD02B</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Baterie amestecatoare pentru baie, cu dus flexibil sau fix, indiferent de modul de inchidere, inclusiv pentru handicapati, montata pe pereti din beton (C</w:t>
            </w:r>
            <w:r>
              <w:rPr/>
              <w:t>меситель</w:t>
            </w:r>
            <w:r>
              <w:rPr>
                <w:lang w:val="pt-BR"/>
              </w:rPr>
              <w:t>)</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1.2. Подача флокулянта.</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11</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AcA52A</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pt-BR"/>
              </w:rPr>
            </w:pPr>
            <w:r>
              <w:rPr>
                <w:lang w:val="pt-BR"/>
              </w:rPr>
              <w:t>Teava din polietilena, pentru conducte de alimentare cu apa montata in sant, cu diametrul de 20, 25, 32, 40, 50, 63 mm. Nota: tipul tevii polietilena si banzii de avertizare se va include conform proiectului  (T</w:t>
            </w:r>
            <w:r>
              <w:rPr/>
              <w:t>руба</w:t>
            </w:r>
            <w:r>
              <w:rPr>
                <w:lang w:val="pt-BR"/>
              </w:rPr>
              <w:t xml:space="preserve"> </w:t>
            </w:r>
            <w:r>
              <w:rPr/>
              <w:t>полиэтиленовая</w:t>
            </w:r>
            <w:r>
              <w:rPr>
                <w:lang w:val="pt-BR"/>
              </w:rPr>
              <w:t xml:space="preserve">  PE 100  PN10  SDR 17 32x3,0)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4,00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12</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AcF12A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 xml:space="preserve">Proba de presiune a conductelor din polietilena montate in transee pentru retelele de alimentare cu apa si canalizare, cu diametru  pina la 100 mm </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4,00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13</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AcA53A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prin electrofuziune. Imbinarea prin sudura de tip electrofuziune intre teava si fiting (mufe, teu, cot) din polietilena, tevii avind diametrul de 20, 25, 32, 40, 50, 63 mm. Nota: tipul fitingului din polietilena (mufe, teu, cot)  se va include conform proiectului (</w:t>
            </w:r>
            <w:r>
              <w:rPr/>
              <w:t>Отвод</w:t>
            </w:r>
            <w:r>
              <w:rPr>
                <w:lang w:val="pt-BR"/>
              </w:rPr>
              <w:t xml:space="preserve">  </w:t>
            </w:r>
            <w:r>
              <w:rPr/>
              <w:t>ф</w:t>
            </w:r>
            <w:r>
              <w:rPr>
                <w:lang w:val="pt-BR"/>
              </w:rPr>
              <w:t>32  90*)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14</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AcA54A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mecanic (insurubare). Imbinare mecanica intre teava si fiting (mufe, teu, cot) din polietilena, tevile avind diametrul de 20-40 mm. Nota: tipul fitingului din polietilena (mufe, teu, cot)  se va include conform proiectului (</w:t>
            </w:r>
            <w:r>
              <w:rPr/>
              <w:t>Муфта</w:t>
            </w:r>
            <w:r>
              <w:rPr>
                <w:lang w:val="pt-BR"/>
              </w:rPr>
              <w:t xml:space="preserve"> </w:t>
            </w:r>
            <w:r>
              <w:rPr/>
              <w:t>зажимная</w:t>
            </w:r>
            <w:r>
              <w:rPr>
                <w:lang w:val="pt-BR"/>
              </w:rPr>
              <w:t xml:space="preserve"> </w:t>
            </w:r>
            <w:r>
              <w:rPr/>
              <w:t>ф</w:t>
            </w:r>
            <w:r>
              <w:rPr>
                <w:lang w:val="pt-BR"/>
              </w:rPr>
              <w:t>32x2'')</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1.3. Перелив осадка.</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15</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AcA52D</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pt-BR"/>
              </w:rPr>
            </w:pPr>
            <w:r>
              <w:rPr>
                <w:lang w:val="pt-BR"/>
              </w:rPr>
              <w:t xml:space="preserve">Teava din polietilena, pentru conducte de alimentare cu apa montata in sant, cu diametrul de 110 mm. Nota: tipul tevii polietilena si banzii de avertizare se va include conform proiectului (Tevi din polietilena de inalta densitate PE 100     PN10   SDR 17 </w:t>
            </w:r>
            <w:r>
              <w:rPr/>
              <w:t>ф</w:t>
            </w:r>
            <w:r>
              <w:rPr>
                <w:lang w:val="pt-BR"/>
              </w:rPr>
              <w:t>110x6.6) (''Uniplast'')</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16</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AcA53C</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prin electrofuziune. Imbinarea prin sudura de tip electrofuziune intre teava si fiting (mufe, teu, cot) din polietilena, tevii avind diametrul de 110 mm. Nota: tipul fitingului din polietilena (mufe, teu, cot)  se va include conform proiectului (</w:t>
            </w:r>
            <w:r>
              <w:rPr/>
              <w:t>Втулка</w:t>
            </w:r>
            <w:r>
              <w:rPr>
                <w:lang w:val="pt-BR"/>
              </w:rPr>
              <w:t xml:space="preserve"> </w:t>
            </w:r>
            <w:r>
              <w:rPr/>
              <w:t>под</w:t>
            </w:r>
            <w:r>
              <w:rPr>
                <w:lang w:val="pt-BR"/>
              </w:rPr>
              <w:t xml:space="preserve"> </w:t>
            </w:r>
            <w:r>
              <w:rPr/>
              <w:t>фланец</w:t>
            </w:r>
            <w:r>
              <w:rPr>
                <w:lang w:val="pt-BR"/>
              </w:rPr>
              <w:t xml:space="preserve">  </w:t>
            </w:r>
            <w:r>
              <w:rPr/>
              <w:t>ф</w:t>
            </w:r>
            <w:r>
              <w:rPr>
                <w:lang w:val="pt-BR"/>
              </w:rPr>
              <w:t>110)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17</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AcA23A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Imbinarea cu flanse libere a tuburilor, pieselor de legatura si armaturilor, la conducte din poliesteri, armate cu fibre de sticla,  avind diametrul de 50-100 mm (</w:t>
            </w:r>
            <w:r>
              <w:rPr/>
              <w:t>Фланец</w:t>
            </w:r>
            <w:r>
              <w:rPr>
                <w:lang w:val="pt-BR"/>
              </w:rPr>
              <w:t xml:space="preserve"> </w:t>
            </w:r>
            <w:r>
              <w:rPr/>
              <w:t>стальной</w:t>
            </w:r>
            <w:r>
              <w:rPr>
                <w:lang w:val="pt-BR"/>
              </w:rPr>
              <w:t xml:space="preserve"> </w:t>
            </w:r>
            <w:r>
              <w:rPr/>
              <w:t>свободный</w:t>
            </w:r>
            <w:r>
              <w:rPr>
                <w:lang w:val="pt-BR"/>
              </w:rPr>
              <w:t xml:space="preserve"> </w:t>
            </w:r>
            <w:r>
              <w:rPr/>
              <w:t>ф</w:t>
            </w:r>
            <w:r>
              <w:rPr>
                <w:lang w:val="pt-BR"/>
              </w:rPr>
              <w:t>100)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1.4. Слив фильтрата.</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18</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AcA52D</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pt-BR"/>
              </w:rPr>
            </w:pPr>
            <w:r>
              <w:rPr>
                <w:lang w:val="pt-BR"/>
              </w:rPr>
              <w:t xml:space="preserve">Teava din polietilena, pentru conducte de alimentare cu apa montata in sant, cu diametrul de 110 mm. Nota: tipul tevii polietilena si banzii de avertizare se va include conform proiectului (Tevi din polietilena de inalta densitate PE 100     PN10   SDR 17 </w:t>
            </w:r>
            <w:r>
              <w:rPr/>
              <w:t>ф</w:t>
            </w:r>
            <w:r>
              <w:rPr>
                <w:lang w:val="pt-BR"/>
              </w:rPr>
              <w:t>110x6.6) (''Uniplast'')</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19</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AcF12A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 xml:space="preserve">Proba de presiune a conductelor din polietilena montate in transee pentru retelele de alimentare cu apa si canalizare, cu diametru  pina la 100 mm </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20</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AcA53C</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prin electrofuziune. Imbinarea prin sudura de tip electrofuziune intre teava si fiting (mufe, teu, cot) din polietilena, tevii avind diametrul de 110 mm. Nota: tipul fitingului din polietilena (mufe, teu, cot)  se va include conform proiectului (</w:t>
            </w:r>
            <w:r>
              <w:rPr/>
              <w:t>Втулка</w:t>
            </w:r>
            <w:r>
              <w:rPr>
                <w:lang w:val="pt-BR"/>
              </w:rPr>
              <w:t xml:space="preserve"> </w:t>
            </w:r>
            <w:r>
              <w:rPr/>
              <w:t>под</w:t>
            </w:r>
            <w:r>
              <w:rPr>
                <w:lang w:val="pt-BR"/>
              </w:rPr>
              <w:t xml:space="preserve"> </w:t>
            </w:r>
            <w:r>
              <w:rPr/>
              <w:t>фланец</w:t>
            </w:r>
            <w:r>
              <w:rPr>
                <w:lang w:val="pt-BR"/>
              </w:rPr>
              <w:t xml:space="preserve">  </w:t>
            </w:r>
            <w:r>
              <w:rPr/>
              <w:t>ф</w:t>
            </w:r>
            <w:r>
              <w:rPr>
                <w:lang w:val="pt-BR"/>
              </w:rPr>
              <w:t>110)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2,00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21</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AcA23A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Imbinarea cu flanse libere a tuburilor, pieselor de legatura si armaturilor, la conducte din poliesteri, armate cu fibre de sticla,  avind diametrul de 50-100 mm (</w:t>
            </w:r>
            <w:r>
              <w:rPr/>
              <w:t>Фланец</w:t>
            </w:r>
            <w:r>
              <w:rPr>
                <w:lang w:val="pt-BR"/>
              </w:rPr>
              <w:t xml:space="preserve"> </w:t>
            </w:r>
            <w:r>
              <w:rPr/>
              <w:t>стальной</w:t>
            </w:r>
            <w:r>
              <w:rPr>
                <w:lang w:val="pt-BR"/>
              </w:rPr>
              <w:t xml:space="preserve"> </w:t>
            </w:r>
            <w:r>
              <w:rPr/>
              <w:t>свободный</w:t>
            </w:r>
            <w:r>
              <w:rPr>
                <w:lang w:val="pt-BR"/>
              </w:rPr>
              <w:t xml:space="preserve"> </w:t>
            </w:r>
            <w:r>
              <w:rPr/>
              <w:t>ф</w:t>
            </w:r>
            <w:r>
              <w:rPr>
                <w:lang w:val="pt-BR"/>
              </w:rPr>
              <w:t>100)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22</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AcA31A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prin sudura electrica a flanselor sau pieselor de legatura, din otel, la capatul tevilor, avind diametrul de 50-100 mm (</w:t>
            </w:r>
            <w:r>
              <w:rPr/>
              <w:t>Фланец</w:t>
            </w:r>
            <w:r>
              <w:rPr>
                <w:lang w:val="pt-BR"/>
              </w:rPr>
              <w:t xml:space="preserve"> </w:t>
            </w:r>
            <w:r>
              <w:rPr/>
              <w:t>глухой</w:t>
            </w:r>
            <w:r>
              <w:rPr>
                <w:lang w:val="pt-BR"/>
              </w:rPr>
              <w:t xml:space="preserve"> </w:t>
            </w:r>
            <w:r>
              <w:rPr/>
              <w:t>ф</w:t>
            </w:r>
            <w:r>
              <w:rPr>
                <w:lang w:val="pt-BR"/>
              </w:rPr>
              <w:t>100)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23</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AcA53C</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prin electrofuziune. Imbinarea prin sudura de tip electrofuziune intre teava si fiting (mufe, teu, cot) din polietilena, tevii avind diametrul de 110 mm. Nota: tipul fitingului din polietilena (mufe, teu, cot)  se va include conform proiectului (</w:t>
            </w:r>
            <w:r>
              <w:rPr/>
              <w:t>Тройник</w:t>
            </w:r>
            <w:r>
              <w:rPr>
                <w:lang w:val="pt-BR"/>
              </w:rPr>
              <w:t xml:space="preserve"> PE  </w:t>
            </w:r>
            <w:r>
              <w:rPr/>
              <w:t>ф</w:t>
            </w:r>
            <w:r>
              <w:rPr>
                <w:lang w:val="pt-BR"/>
              </w:rPr>
              <w:t>110x110)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1.5. Подача иловой воды.</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24</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AcA52A</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pt-BR"/>
              </w:rPr>
            </w:pPr>
            <w:r>
              <w:rPr>
                <w:lang w:val="pt-BR"/>
              </w:rPr>
              <w:t>Teava din polietilena, pentru conducte de alimentare cu apa montata in sant, cu diametrul de 20, 25, 32, 40, 50, 63 mm. Nota: tipul tevii polietilena si banzii de avertizare se va include conform proiectului  (Tevi din polietilena de inalta densitate PE 100  RC    P</w:t>
            </w:r>
            <w:r>
              <w:rPr/>
              <w:t>у</w:t>
            </w:r>
            <w:r>
              <w:rPr>
                <w:lang w:val="pt-BR"/>
              </w:rPr>
              <w:t xml:space="preserve"> 1,0 </w:t>
            </w:r>
            <w:r>
              <w:rPr/>
              <w:t>Мпа</w:t>
            </w:r>
            <w:r>
              <w:rPr>
                <w:lang w:val="pt-BR"/>
              </w:rPr>
              <w:t xml:space="preserve">  SDR 17 </w:t>
            </w:r>
            <w:r>
              <w:rPr/>
              <w:t>ф</w:t>
            </w:r>
            <w:r>
              <w:rPr>
                <w:lang w:val="pt-BR"/>
              </w:rPr>
              <w:t>50x3)</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5,00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25</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AcF12A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 xml:space="preserve">Proba de presiune a conductelor din polietilena montate in transee pentru retelele de alimentare cu apa si canalizare, cu diametru  pina la 100 mm </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m</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5,00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26</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AcA53B</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prin electrofuziune. Imbinarea prin sudura de tip electrofuziune intre teava si fiting (mufe, teu, cot) din polietilena, tevii avind diametrul de 75, 90 mm. Nota: tipul fitingului din polietilena (mufe, teu, cot)  se va include conform proiectului (</w:t>
            </w:r>
            <w:r>
              <w:rPr/>
              <w:t>Отвод</w:t>
            </w:r>
            <w:r>
              <w:rPr>
                <w:lang w:val="pt-BR"/>
              </w:rPr>
              <w:t xml:space="preserve">  </w:t>
            </w:r>
            <w:r>
              <w:rPr/>
              <w:t>ф</w:t>
            </w:r>
            <w:r>
              <w:rPr>
                <w:lang w:val="pt-BR"/>
              </w:rPr>
              <w:t>50mm )</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3,00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27</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AcA54A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mecanic (insurubare). Imbinare mecanica intre teava si fiting (mufe, teu, cot) din polietilena, tevile avind diametrul de 20-40 mm. Nota: tipul fitingului din polietilena (mufe, teu, cot)  se va include conform proiectului (</w:t>
            </w:r>
            <w:r>
              <w:rPr/>
              <w:t>Муфта</w:t>
            </w:r>
            <w:r>
              <w:rPr>
                <w:lang w:val="pt-BR"/>
              </w:rPr>
              <w:t xml:space="preserve"> </w:t>
            </w:r>
            <w:r>
              <w:rPr/>
              <w:t>зажимная</w:t>
            </w:r>
            <w:r>
              <w:rPr>
                <w:lang w:val="pt-BR"/>
              </w:rPr>
              <w:t xml:space="preserve"> </w:t>
            </w:r>
            <w:r>
              <w:rPr/>
              <w:t>ф</w:t>
            </w:r>
            <w:r>
              <w:rPr>
                <w:lang w:val="pt-BR"/>
              </w:rPr>
              <w:t>32x2'')</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5,00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28</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AcA53A</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Montarea fitingurilor prin electrofuziune. Imbinarea prin sudura de tip electrofuziune intre teava si fiting (mufe, teu, cot) din polietilena, tevii avind diametrul de 20, 25, 32, 40, 50, 63 mm. Nota: tipul fitingului din polietilena (mufe, teu, cot)  se va include conform proiectului  (</w:t>
            </w:r>
            <w:r>
              <w:rPr/>
              <w:t>Тройник</w:t>
            </w:r>
            <w:r>
              <w:rPr>
                <w:lang w:val="pt-BR"/>
              </w:rPr>
              <w:t xml:space="preserve"> PE  </w:t>
            </w:r>
            <w:r>
              <w:rPr/>
              <w:t>ф</w:t>
            </w:r>
            <w:r>
              <w:rPr>
                <w:lang w:val="pt-BR"/>
              </w:rPr>
              <w:t>50x</w:t>
            </w:r>
            <w:r>
              <w:rPr/>
              <w:t>ф</w:t>
            </w:r>
            <w:r>
              <w:rPr>
                <w:lang w:val="pt-BR"/>
              </w:rPr>
              <w:t>50)</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1,00</w:t>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pPr>
            <w:r>
              <w:rPr>
                <w:sz w:val="22"/>
                <w:szCs w:val="22"/>
              </w:rPr>
              <w:t>29</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en-US"/>
              </w:rPr>
            </w:pPr>
            <w:r>
              <w:rPr>
                <w:sz w:val="22"/>
                <w:szCs w:val="22"/>
                <w:lang w:val="en-US"/>
              </w:rPr>
              <w:t>SD07F</w:t>
            </w:r>
          </w:p>
          <w:p>
            <w:pPr>
              <w:pStyle w:val="Normal"/>
              <w:widowControl w:val="false"/>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bidi w:val="0"/>
              <w:ind w:left="0" w:right="0" w:hanging="0"/>
              <w:rPr>
                <w:lang w:val="pt-BR"/>
              </w:rPr>
            </w:pPr>
            <w:r>
              <w:rPr>
                <w:lang w:val="pt-BR"/>
              </w:rPr>
              <w:t>Robinet de trecere cu ventil si mufa, cu sau fara descarcare , pentru teava din otel, avind diametrul de 2" (</w:t>
            </w:r>
            <w:r>
              <w:rPr/>
              <w:t>Вентиль</w:t>
            </w:r>
            <w:r>
              <w:rPr>
                <w:lang w:val="pt-BR"/>
              </w:rPr>
              <w:t xml:space="preserve"> </w:t>
            </w:r>
            <w:r>
              <w:rPr/>
              <w:t>ф</w:t>
            </w:r>
            <w:r>
              <w:rPr>
                <w:lang w:val="pt-BR"/>
              </w:rPr>
              <w:t>2")</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bidi w:val="0"/>
              <w:ind w:left="0" w:right="0" w:hanging="0"/>
              <w:jc w:val="center"/>
              <w:rPr>
                <w:lang w:val="en-US"/>
              </w:rPr>
            </w:pPr>
            <w:r>
              <w:rPr>
                <w:sz w:val="22"/>
                <w:szCs w:val="22"/>
                <w:lang w:val="en-US"/>
              </w:rPr>
              <w:t>2,00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2. Монтажные работы</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left w:val="single" w:sz="6" w:space="0" w:color="000000"/>
            </w:tcBorders>
          </w:tcPr>
          <w:p>
            <w:pPr>
              <w:pStyle w:val="Normal"/>
              <w:widowControl w:val="false"/>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bidi w:val="0"/>
              <w:ind w:left="0" w:right="0" w:hanging="0"/>
              <w:rPr/>
            </w:pPr>
            <w:r>
              <w:rPr>
                <w:b/>
                <w:bCs/>
                <w:sz w:val="22"/>
                <w:szCs w:val="22"/>
              </w:rPr>
              <w:t xml:space="preserve">2.1. Технологическое оборудование и трубопроводы Установки BIOFIX-350  </w:t>
            </w:r>
          </w:p>
        </w:tc>
        <w:tc>
          <w:tcPr>
            <w:tcW w:w="992" w:type="dxa"/>
            <w:tcBorders>
              <w:left w:val="single" w:sz="6" w:space="0" w:color="000000"/>
            </w:tcBorders>
          </w:tcPr>
          <w:p>
            <w:pPr>
              <w:pStyle w:val="Normal"/>
              <w:widowControl w:val="false"/>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30</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Pret de piata</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t xml:space="preserve">     </w:t>
            </w:r>
            <w:r>
              <w:rPr/>
              <w:t>Станции биологической очистки сточных вод  BIOFIX-350  производительностью 350м3/сут с возможностью расширения до 450 м3/сут для монтажа в ж/б резервуарах .Станция с автоматическим режимом работы с возможностью дистанционного мониторинга основных параметров в системе SCADA, частотного регулирования подачи воздуха в зависимости  от качества и количества сточных вод. (CТОИМОСТЬ  МОНТАЖА  УЧТЕНА    В    СТ-СТИ    ОБОРУДОВАНИИЯ)</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1,00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2.2. Помещение механического обезвоживания осадка.</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31</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Pret de piata</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t xml:space="preserve">Шнековый обезвоживать осадка производительностью 4-1,73м? час  AMCON ES-202 в комплекте с : Приемной камерой с переливом; ёмкостью флокуляции с мешалкой; обезвоживающим барабаном(шнек 2шт по 200мм(; ёмкостью сбора фильтрата; автоматическая панель управления; системой промывки с электромагнитным клапаном; контейнером из нержавеющей стали для сбора кека. N-0.8 kWt.  (CТОИМОСТЬ  МОНТАЖА  УЧТЕНА    В    СТ-СТИ    ОБОРУДОВАНИИЯ) </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1,00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3. Оборудование.</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left w:val="single" w:sz="6" w:space="0" w:color="000000"/>
            </w:tcBorders>
          </w:tcPr>
          <w:p>
            <w:pPr>
              <w:pStyle w:val="Normal"/>
              <w:widowControl w:val="false"/>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bidi w:val="0"/>
              <w:ind w:left="0" w:right="0" w:hanging="0"/>
              <w:rPr/>
            </w:pPr>
            <w:r>
              <w:rPr>
                <w:b/>
                <w:bCs/>
                <w:sz w:val="22"/>
                <w:szCs w:val="22"/>
              </w:rPr>
              <w:t>3.1. Технологическое оборудование и трубопроводы Установки BIOFIX-350 .</w:t>
            </w:r>
          </w:p>
        </w:tc>
        <w:tc>
          <w:tcPr>
            <w:tcW w:w="992" w:type="dxa"/>
            <w:tcBorders>
              <w:left w:val="single" w:sz="6" w:space="0" w:color="000000"/>
            </w:tcBorders>
          </w:tcPr>
          <w:p>
            <w:pPr>
              <w:pStyle w:val="Normal"/>
              <w:widowControl w:val="false"/>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32</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Pret de piata</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t xml:space="preserve">     </w:t>
            </w:r>
            <w:r>
              <w:rPr/>
              <w:t>Станции биологической очистки сточных вод  BIOFIX-350  производительностью 350м3/сут с возможностью расширения до 450 м3/сут для монтажа в ж/б резервуарах .Станция с автоматическим режимом работы с возможностью дистанционного мониторинга основных параметров в системе SCADA, частотного регулирования подачи воздуха в зависимости  от качества и количества сточных вод.</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1,00</w:t>
            </w:r>
          </w:p>
        </w:tc>
      </w:tr>
      <w:tr>
        <w:trPr/>
        <w:tc>
          <w:tcPr>
            <w:tcW w:w="709" w:type="dxa"/>
            <w:tcBorders>
              <w:left w:val="single" w:sz="6" w:space="0" w:color="000000"/>
            </w:tcBorders>
          </w:tcPr>
          <w:p>
            <w:pPr>
              <w:pStyle w:val="Normal"/>
              <w:widowControl w:val="false"/>
              <w:tabs>
                <w:tab w:val="clear" w:pos="720"/>
              </w:tabs>
              <w:bidi w:val="0"/>
              <w:ind w:left="0" w:right="0" w:hanging="0"/>
              <w:jc w:val="center"/>
              <w:rPr>
                <w:rFonts w:ascii="Times New Roman" w:hAnsi="Times New Roman"/>
              </w:rPr>
            </w:pPr>
            <w:r>
              <w:rPr/>
            </w:r>
          </w:p>
        </w:tc>
        <w:tc>
          <w:tcPr>
            <w:tcW w:w="1559"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4678" w:type="dxa"/>
            <w:tcBorders>
              <w:left w:val="single" w:sz="6" w:space="0" w:color="000000"/>
            </w:tcBorders>
          </w:tcPr>
          <w:p>
            <w:pPr>
              <w:pStyle w:val="Normal"/>
              <w:widowControl w:val="false"/>
              <w:tabs>
                <w:tab w:val="clear" w:pos="720"/>
              </w:tabs>
              <w:bidi w:val="0"/>
              <w:ind w:left="0" w:right="0" w:hanging="0"/>
              <w:rPr/>
            </w:pPr>
            <w:r>
              <w:rPr>
                <w:b/>
                <w:bCs/>
                <w:sz w:val="22"/>
                <w:szCs w:val="22"/>
              </w:rPr>
              <w:t>3.2. Помещение механического обезвоживания осадка.</w:t>
            </w:r>
          </w:p>
        </w:tc>
        <w:tc>
          <w:tcPr>
            <w:tcW w:w="992" w:type="dxa"/>
            <w:tcBorders>
              <w:left w:val="single" w:sz="6" w:space="0" w:color="000000"/>
            </w:tcBorders>
          </w:tcPr>
          <w:p>
            <w:pPr>
              <w:pStyle w:val="Normal"/>
              <w:widowControl w:val="false"/>
              <w:tabs>
                <w:tab w:val="clear" w:pos="720"/>
              </w:tabs>
              <w:bidi w:val="0"/>
              <w:ind w:left="0" w:right="0" w:hanging="0"/>
              <w:rPr>
                <w:rFonts w:ascii="Times New Roman" w:hAnsi="Times New Roman"/>
              </w:rPr>
            </w:pPr>
            <w:r>
              <w:rPr/>
            </w:r>
          </w:p>
        </w:tc>
        <w:tc>
          <w:tcPr>
            <w:tcW w:w="1843" w:type="dxa"/>
            <w:tcBorders>
              <w:left w:val="single" w:sz="6" w:space="0" w:color="000000"/>
              <w:right w:val="single" w:sz="6" w:space="0" w:color="000000"/>
            </w:tcBorders>
          </w:tcPr>
          <w:p>
            <w:pPr>
              <w:pStyle w:val="Normal"/>
              <w:widowControl w:val="false"/>
              <w:tabs>
                <w:tab w:val="clear" w:pos="720"/>
              </w:tabs>
              <w:bidi w:val="0"/>
              <w:ind w:left="0" w:right="0" w:hanging="0"/>
              <w:rPr>
                <w:rFonts w:ascii="Times New Roman" w:hAnsi="Times New Roman"/>
              </w:rPr>
            </w:pPr>
            <w:r>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sz w:val="22"/>
                <w:szCs w:val="22"/>
              </w:rPr>
              <w:t>33</w:t>
            </w:r>
          </w:p>
        </w:tc>
        <w:tc>
          <w:tcPr>
            <w:tcW w:w="1559"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lang w:val="en-US"/>
              </w:rPr>
            </w:pPr>
            <w:r>
              <w:rPr>
                <w:sz w:val="22"/>
                <w:szCs w:val="22"/>
                <w:lang w:val="en-US"/>
              </w:rPr>
              <w:t>Pret de piata</w:t>
            </w:r>
          </w:p>
          <w:p>
            <w:pPr>
              <w:pStyle w:val="Normal"/>
              <w:widowControl w:val="false"/>
              <w:tabs>
                <w:tab w:val="clear" w:pos="720"/>
              </w:tabs>
              <w:bidi w:val="0"/>
              <w:ind w:left="0" w:right="0" w:hanging="0"/>
              <w:rPr>
                <w:rFonts w:ascii="Times New Roman" w:hAnsi="Times New Roman"/>
              </w:rPr>
            </w:pPr>
            <w:r>
              <w:rPr/>
            </w:r>
          </w:p>
        </w:tc>
        <w:tc>
          <w:tcPr>
            <w:tcW w:w="4678" w:type="dxa"/>
            <w:tcBorders>
              <w:top w:val="single" w:sz="4" w:space="0" w:color="000000"/>
              <w:left w:val="single" w:sz="6" w:space="0" w:color="000000"/>
              <w:bottom w:val="single" w:sz="4" w:space="0" w:color="000000"/>
              <w:right w:val="single" w:sz="6" w:space="0" w:color="000000"/>
            </w:tcBorders>
          </w:tcPr>
          <w:p>
            <w:pPr>
              <w:pStyle w:val="Normal"/>
              <w:widowControl w:val="false"/>
              <w:tabs>
                <w:tab w:val="clear" w:pos="720"/>
              </w:tabs>
              <w:bidi w:val="0"/>
              <w:ind w:left="0" w:right="0" w:hanging="0"/>
              <w:rPr/>
            </w:pPr>
            <w:r>
              <w:rPr/>
              <w:t xml:space="preserve">Шнековый обезвоживать осадка производительностью 4-1,73м3 час  AMCON ES-202 в комплекте с : Приемной камерой с переливом; ёмкостью флокуляции с мешалкой; обезвоживающим барабаном(шнек 2шт по 200мм(; ёмкостью сбора фильтрата; автоматическая панель управления; системой промывки с электромагнитным клапаном; контейнером из нержавеющей стали для сбора кека. N-0.8 kWt. </w:t>
            </w:r>
          </w:p>
        </w:tc>
        <w:tc>
          <w:tcPr>
            <w:tcW w:w="992"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pPr>
            <w:r>
              <w:rPr>
                <w:sz w:val="22"/>
                <w:szCs w:val="22"/>
              </w:rPr>
              <w:t>buc</w:t>
            </w:r>
          </w:p>
        </w:tc>
        <w:tc>
          <w:tcPr>
            <w:tcW w:w="1843" w:type="dxa"/>
            <w:tcBorders>
              <w:top w:val="single" w:sz="4" w:space="0" w:color="000000"/>
              <w:left w:val="single" w:sz="6" w:space="0" w:color="000000"/>
              <w:bottom w:val="single" w:sz="4" w:space="0" w:color="000000"/>
              <w:right w:val="single" w:sz="6" w:space="0" w:color="000000"/>
            </w:tcBorders>
            <w:vAlign w:val="center"/>
          </w:tcPr>
          <w:p>
            <w:pPr>
              <w:pStyle w:val="Normal"/>
              <w:widowControl w:val="false"/>
              <w:tabs>
                <w:tab w:val="clear" w:pos="720"/>
              </w:tabs>
              <w:bidi w:val="0"/>
              <w:ind w:left="0" w:right="0" w:hanging="0"/>
              <w:jc w:val="center"/>
              <w:rPr>
                <w:lang w:val="en-US"/>
              </w:rPr>
            </w:pPr>
            <w:r>
              <w:rPr>
                <w:sz w:val="22"/>
                <w:szCs w:val="22"/>
                <w:lang w:val="en-US"/>
              </w:rPr>
              <w:t>1,00</w:t>
            </w:r>
          </w:p>
        </w:tc>
      </w:tr>
    </w:tbl>
    <w:p>
      <w:pPr>
        <w:pStyle w:val="Normal"/>
        <w:widowControl w:val="false"/>
        <w:bidi w:val="0"/>
        <w:ind w:left="0" w:right="0" w:hanging="0"/>
        <w:rPr>
          <w:rFonts w:ascii="Times New Roman" w:hAnsi="Times New Roman"/>
        </w:rPr>
      </w:pPr>
      <w:r>
        <w:rPr/>
      </w:r>
    </w:p>
    <w:p>
      <w:pPr>
        <w:pStyle w:val="Normal"/>
        <w:bidi w:val="0"/>
        <w:ind w:left="0" w:right="0" w:hanging="0"/>
        <w:rPr>
          <w:rFonts w:ascii="Times New Roman" w:hAnsi="Times New Roman"/>
        </w:rPr>
      </w:pPr>
      <w:r>
        <w:rPr/>
      </w:r>
    </w:p>
    <w:tbl>
      <w:tblPr>
        <w:tblW w:w="10349" w:type="dxa"/>
        <w:jc w:val="left"/>
        <w:tblInd w:w="-567" w:type="dxa"/>
        <w:tblLayout w:type="fixed"/>
        <w:tblCellMar>
          <w:top w:w="0" w:type="dxa"/>
          <w:left w:w="108" w:type="dxa"/>
          <w:bottom w:w="0" w:type="dxa"/>
          <w:right w:w="108" w:type="dxa"/>
        </w:tblCellMar>
      </w:tblPr>
      <w:tblGrid>
        <w:gridCol w:w="10349"/>
      </w:tblGrid>
      <w:tr>
        <w:trPr/>
        <w:tc>
          <w:tcPr>
            <w:tcW w:w="10349" w:type="dxa"/>
            <w:tcBorders>
              <w:bottom w:val="single" w:sz="6" w:space="0" w:color="000000"/>
            </w:tcBorders>
          </w:tcPr>
          <w:p>
            <w:pPr>
              <w:pStyle w:val="Normal"/>
              <w:widowControl w:val="false"/>
              <w:tabs>
                <w:tab w:val="clear" w:pos="720"/>
              </w:tabs>
              <w:bidi w:val="0"/>
              <w:ind w:left="0" w:right="0" w:hanging="0"/>
              <w:rPr>
                <w:lang w:val="ro-RO"/>
              </w:rPr>
            </w:pPr>
            <w:r>
              <w:rPr>
                <w:sz w:val="24"/>
                <w:szCs w:val="24"/>
                <w:lang w:val="ro-RO"/>
              </w:rPr>
              <w:t xml:space="preserve">Proiectant   </w:t>
            </w:r>
            <w:r>
              <w:rPr>
                <w:sz w:val="24"/>
                <w:szCs w:val="24"/>
                <w:lang w:val="en-US"/>
              </w:rPr>
              <w:t xml:space="preserve"> L.Наlamenda</w:t>
            </w:r>
          </w:p>
        </w:tc>
      </w:tr>
      <w:tr>
        <w:trPr>
          <w:trHeight w:val="355" w:hRule="atLeast"/>
        </w:trPr>
        <w:tc>
          <w:tcPr>
            <w:tcW w:w="10349" w:type="dxa"/>
            <w:tcBorders/>
          </w:tcPr>
          <w:p>
            <w:pPr>
              <w:pStyle w:val="Normal"/>
              <w:widowControl w:val="false"/>
              <w:tabs>
                <w:tab w:val="clear" w:pos="720"/>
              </w:tabs>
              <w:bidi w:val="0"/>
              <w:ind w:left="0" w:right="0" w:hanging="0"/>
              <w:jc w:val="center"/>
              <w:rPr>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pPr>
        <w:pStyle w:val="Normal"/>
        <w:widowControl w:val="false"/>
        <w:bidi w:val="0"/>
        <w:ind w:left="0" w:right="0" w:hanging="0"/>
        <w:jc w:val="center"/>
        <w:rPr>
          <w:lang w:val="en-US"/>
        </w:rPr>
      </w:pPr>
      <w:r>
        <w:rPr>
          <w:sz w:val="28"/>
          <w:szCs w:val="28"/>
          <w:lang w:val="en-US"/>
        </w:rPr>
        <w:t>L.S.</w:t>
      </w:r>
    </w:p>
    <w:p>
      <w:pPr>
        <w:pStyle w:val="Normal"/>
        <w:bidi w:val="0"/>
        <w:ind w:left="0" w:right="0" w:hanging="0"/>
        <w:rPr/>
      </w:pPr>
      <w:r>
        <w:rPr/>
      </w:r>
    </w:p>
    <w:sectPr>
      <w:type w:val="nextPage"/>
      <w:pgSz w:w="11906" w:h="16838"/>
      <w:pgMar w:left="1134" w:right="992" w:gutter="0" w:header="0" w:top="1418" w:footer="0" w:bottom="1418"/>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bidi w:val="0"/>
      <w:jc w:val="left"/>
      <w:textAlignment w:val="auto"/>
    </w:pPr>
    <w:rPr>
      <w:rFonts w:ascii="Times New Roman" w:hAnsi="Times New Roman" w:eastAsia="Times New Roman"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Table">
    <w:name w:val="Normal Table"/>
    <w:qFormat/>
    <w:pPr>
      <w:widowControl/>
      <w:bidi w:val="0"/>
      <w:spacing w:lineRule="auto" w:line="256" w:before="0" w:after="160"/>
      <w:jc w:val="left"/>
      <w:textAlignment w:val="auto"/>
    </w:pPr>
    <w:rPr>
      <w:rFonts w:ascii="Times New Roman" w:hAnsi="Times New Roman" w:eastAsia="Times New Roman" w:cs="Times New Roman"/>
      <w:color w:val="auto"/>
      <w:kern w:val="2"/>
      <w:sz w:val="22"/>
      <w:szCs w:val="22"/>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LibreOffice_project/e114eadc50a9ff8d8c8a0567d6da8f454beeb84f</Application>
  <AppVersion>15.0000</AppVersion>
  <Pages>99</Pages>
  <Words>1482</Words>
  <Characters>9916</Characters>
  <CharactersWithSpaces>8453</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2024-01-12T13:26:00Z</dcterms:created>
  <dc:creator>Admin</dc:creator>
  <dc:description/>
  <dc:language>en-US</dc:language>
  <cp:lastModifiedBy/>
  <dcterms:modified xsi:type="dcterms:W3CDTF">2024-08-14T16:48:00Z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Пользователь</vt:lpwstr>
  </property>
</Properties>
</file>