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r>
        <w:rPr>
          <w:rFonts w:hint="default" w:ascii="Times New Roman" w:hAnsi="Times New Roman" w:cs="Times New Roman"/>
          <w:b/>
          <w:caps/>
          <w:sz w:val="60"/>
          <w:szCs w:val="60"/>
        </w:rPr>
        <w:t>DOCUMENTAŢIA STANDARD</w:t>
      </w:r>
    </w:p>
    <w:p>
      <w:pPr>
        <w:jc w:val="center"/>
        <w:rPr>
          <w:rFonts w:hint="default" w:ascii="Times New Roman" w:hAnsi="Times New Roman" w:cs="Times New Roman"/>
          <w:b/>
          <w:sz w:val="40"/>
          <w:szCs w:val="40"/>
        </w:rPr>
      </w:pPr>
      <w:r>
        <w:rPr>
          <w:rFonts w:hint="default" w:ascii="Times New Roman" w:hAnsi="Times New Roman" w:cs="Times New Roman"/>
          <w:b/>
          <w:sz w:val="40"/>
          <w:szCs w:val="40"/>
        </w:rPr>
        <w:t>pentru realizarea achiziţiilor</w:t>
      </w:r>
      <w:r>
        <w:rPr>
          <w:rFonts w:hint="default" w:ascii="Times New Roman" w:hAnsi="Times New Roman" w:cs="Times New Roman"/>
          <w:b/>
          <w:sz w:val="40"/>
          <w:szCs w:val="40"/>
          <w:lang w:val="ro-RO"/>
        </w:rPr>
        <w:t xml:space="preserve"> </w:t>
      </w:r>
      <w:r>
        <w:rPr>
          <w:rFonts w:hint="default" w:ascii="Times New Roman" w:hAnsi="Times New Roman" w:cs="Times New Roman"/>
          <w:b/>
          <w:sz w:val="40"/>
          <w:szCs w:val="40"/>
        </w:rPr>
        <w:t>de bunuri</w:t>
      </w:r>
    </w:p>
    <w:p>
      <w:pPr>
        <w:jc w:val="center"/>
        <w:rPr>
          <w:rFonts w:hint="default" w:ascii="Times New Roman" w:hAnsi="Times New Roman" w:cs="Times New Roman"/>
          <w:b/>
          <w:sz w:val="40"/>
          <w:szCs w:val="40"/>
        </w:rPr>
      </w:pPr>
    </w:p>
    <w:p>
      <w:pPr>
        <w:ind w:firstLine="709"/>
        <w:jc w:val="both"/>
        <w:rPr>
          <w:rFonts w:hint="default" w:ascii="Times New Roman" w:hAnsi="Times New Roman" w:cs="Times New Roman"/>
          <w:b/>
        </w:rPr>
      </w:pPr>
    </w:p>
    <w:p>
      <w:pPr>
        <w:ind w:firstLine="709"/>
        <w:jc w:val="both"/>
        <w:rPr>
          <w:rFonts w:hint="default" w:ascii="Times New Roman" w:hAnsi="Times New Roman" w:cs="Times New Roman"/>
          <w:b/>
        </w:rPr>
      </w:pPr>
    </w:p>
    <w:p>
      <w:pPr>
        <w:ind w:firstLine="709"/>
        <w:jc w:val="both"/>
        <w:rPr>
          <w:rFonts w:hint="default" w:ascii="Times New Roman" w:hAnsi="Times New Roman" w:cs="Times New Roman"/>
          <w:b/>
        </w:rPr>
      </w:pPr>
    </w:p>
    <w:p>
      <w:pPr>
        <w:ind w:firstLine="709"/>
        <w:jc w:val="both"/>
        <w:rPr>
          <w:rFonts w:hint="default" w:ascii="Times New Roman" w:hAnsi="Times New Roman" w:cs="Times New Roman"/>
          <w:b/>
          <w:sz w:val="48"/>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32"/>
          <w:szCs w:val="32"/>
          <w:lang w:val="ro-RO"/>
        </w:rPr>
      </w:pPr>
      <w:r>
        <w:rPr>
          <w:rFonts w:hint="default" w:ascii="Times New Roman" w:hAnsi="Times New Roman" w:cs="Times New Roman"/>
          <w:sz w:val="32"/>
          <w:szCs w:val="32"/>
        </w:rPr>
        <w:t>Obiectul achiziţiei:</w:t>
      </w:r>
      <w:r>
        <w:rPr>
          <w:rFonts w:hint="default" w:ascii="Times New Roman" w:hAnsi="Times New Roman" w:cs="Times New Roman"/>
          <w:b/>
          <w:sz w:val="32"/>
          <w:szCs w:val="32"/>
        </w:rPr>
        <w:t xml:space="preserve"> </w:t>
      </w:r>
      <w:r>
        <w:rPr>
          <w:rFonts w:hint="default" w:ascii="Times New Roman" w:hAnsi="Times New Roman" w:cs="Times New Roman"/>
          <w:b/>
          <w:sz w:val="32"/>
          <w:szCs w:val="32"/>
        </w:rPr>
        <w:tab/>
      </w:r>
      <w:r>
        <w:rPr>
          <w:rFonts w:hint="default" w:ascii="Times New Roman" w:hAnsi="Times New Roman" w:cs="Times New Roman"/>
          <w:b/>
          <w:sz w:val="32"/>
          <w:szCs w:val="32"/>
        </w:rPr>
        <w:tab/>
      </w:r>
      <w:r>
        <w:rPr>
          <w:rFonts w:hint="default" w:cs="Times New Roman"/>
          <w:b/>
          <w:sz w:val="32"/>
          <w:szCs w:val="32"/>
          <w:lang w:val="ro-RO"/>
        </w:rPr>
        <w:t>Tambur de frână pentru troleibuze</w:t>
      </w:r>
      <w:bookmarkStart w:id="140" w:name="_GoBack"/>
      <w:bookmarkEnd w:id="140"/>
    </w:p>
    <w:p>
      <w:pPr>
        <w:spacing w:line="360" w:lineRule="auto"/>
        <w:jc w:val="both"/>
        <w:rPr>
          <w:rFonts w:hint="default" w:ascii="Times New Roman" w:hAnsi="Times New Roman" w:cs="Times New Roman"/>
          <w:sz w:val="32"/>
          <w:szCs w:val="32"/>
        </w:rPr>
      </w:pPr>
    </w:p>
    <w:p>
      <w:pPr>
        <w:spacing w:line="360" w:lineRule="auto"/>
        <w:jc w:val="both"/>
        <w:rPr>
          <w:rFonts w:hint="default" w:ascii="Times New Roman" w:hAnsi="Times New Roman" w:cs="Times New Roman"/>
          <w:sz w:val="32"/>
          <w:szCs w:val="32"/>
          <w:lang w:val="ro-RO"/>
        </w:rPr>
      </w:pPr>
      <w:r>
        <w:rPr>
          <w:rFonts w:hint="default" w:ascii="Times New Roman" w:hAnsi="Times New Roman" w:cs="Times New Roman"/>
          <w:sz w:val="32"/>
          <w:szCs w:val="32"/>
        </w:rPr>
        <w:t>Cod CPV:</w:t>
      </w:r>
      <w:r>
        <w:rPr>
          <w:rFonts w:hint="default" w:ascii="Times New Roman" w:hAnsi="Times New Roman" w:cs="Times New Roman"/>
          <w:b/>
          <w:sz w:val="32"/>
          <w:szCs w:val="32"/>
        </w:rPr>
        <w:t xml:space="preserve"> </w:t>
      </w:r>
      <w:r>
        <w:rPr>
          <w:rFonts w:hint="default" w:ascii="Times New Roman" w:hAnsi="Times New Roman" w:cs="Times New Roman"/>
          <w:b/>
          <w:sz w:val="32"/>
          <w:szCs w:val="32"/>
        </w:rPr>
        <w:tab/>
      </w:r>
      <w:r>
        <w:rPr>
          <w:rFonts w:hint="default" w:ascii="Times New Roman" w:hAnsi="Times New Roman" w:cs="Times New Roman"/>
          <w:b/>
          <w:sz w:val="32"/>
          <w:szCs w:val="32"/>
        </w:rPr>
        <w:tab/>
      </w:r>
      <w:r>
        <w:rPr>
          <w:rFonts w:hint="default" w:ascii="Times New Roman" w:hAnsi="Times New Roman" w:cs="Times New Roman"/>
          <w:b/>
          <w:sz w:val="32"/>
          <w:szCs w:val="32"/>
        </w:rPr>
        <w:tab/>
      </w:r>
      <w:r>
        <w:rPr>
          <w:rFonts w:hint="default" w:ascii="Times New Roman" w:hAnsi="Times New Roman" w:cs="Times New Roman"/>
          <w:b/>
          <w:sz w:val="32"/>
          <w:szCs w:val="32"/>
        </w:rPr>
        <w:tab/>
      </w:r>
      <w:r>
        <w:rPr>
          <w:rFonts w:hint="default"/>
          <w:b/>
          <w:bCs/>
          <w:sz w:val="32"/>
          <w:szCs w:val="32"/>
          <w:lang w:val="ro-RO"/>
        </w:rPr>
        <w:t>34900000-6</w:t>
      </w:r>
    </w:p>
    <w:p>
      <w:pPr>
        <w:spacing w:line="360" w:lineRule="auto"/>
        <w:jc w:val="both"/>
        <w:rPr>
          <w:rFonts w:hint="default" w:ascii="Times New Roman" w:hAnsi="Times New Roman" w:cs="Times New Roman"/>
          <w:sz w:val="32"/>
          <w:szCs w:val="32"/>
        </w:rPr>
      </w:pPr>
    </w:p>
    <w:p>
      <w:pPr>
        <w:spacing w:line="360" w:lineRule="auto"/>
        <w:jc w:val="both"/>
        <w:rPr>
          <w:rFonts w:hint="default" w:ascii="Times New Roman" w:hAnsi="Times New Roman" w:cs="Times New Roman"/>
          <w:sz w:val="32"/>
          <w:szCs w:val="32"/>
        </w:rPr>
      </w:pPr>
      <w:r>
        <w:rPr>
          <w:rFonts w:hint="default" w:ascii="Times New Roman" w:hAnsi="Times New Roman" w:cs="Times New Roman"/>
          <w:sz w:val="32"/>
          <w:szCs w:val="32"/>
        </w:rPr>
        <w:t>Autoritarea Contractantă:</w:t>
      </w:r>
      <w:r>
        <w:rPr>
          <w:rFonts w:hint="default" w:ascii="Times New Roman" w:hAnsi="Times New Roman" w:cs="Times New Roman"/>
          <w:sz w:val="32"/>
          <w:szCs w:val="32"/>
        </w:rPr>
        <w:tab/>
      </w:r>
      <w:r>
        <w:rPr>
          <w:rFonts w:hint="default" w:ascii="Times New Roman" w:hAnsi="Times New Roman" w:cs="Times New Roman"/>
          <w:b/>
          <w:bCs/>
          <w:sz w:val="32"/>
          <w:szCs w:val="32"/>
          <w:lang w:val="ro-RO"/>
        </w:rPr>
        <w:t>ÎM ”Regia transport electric”</w:t>
      </w:r>
    </w:p>
    <w:p>
      <w:pPr>
        <w:spacing w:line="360" w:lineRule="auto"/>
        <w:jc w:val="both"/>
        <w:rPr>
          <w:rFonts w:hint="default" w:ascii="Times New Roman" w:hAnsi="Times New Roman" w:cs="Times New Roman"/>
          <w:sz w:val="32"/>
          <w:szCs w:val="32"/>
        </w:rPr>
      </w:pPr>
    </w:p>
    <w:p>
      <w:pPr>
        <w:spacing w:line="360" w:lineRule="auto"/>
        <w:jc w:val="both"/>
        <w:rPr>
          <w:rFonts w:hint="default" w:ascii="Times New Roman" w:hAnsi="Times New Roman" w:cs="Times New Roman"/>
          <w:sz w:val="32"/>
          <w:szCs w:val="32"/>
        </w:rPr>
      </w:pPr>
      <w:r>
        <w:rPr>
          <w:rFonts w:hint="default" w:ascii="Times New Roman" w:hAnsi="Times New Roman" w:cs="Times New Roman"/>
          <w:sz w:val="32"/>
          <w:szCs w:val="32"/>
        </w:rPr>
        <w:t>Procedura achiziţiei:</w:t>
      </w:r>
      <w:r>
        <w:rPr>
          <w:rFonts w:hint="default" w:ascii="Times New Roman" w:hAnsi="Times New Roman" w:cs="Times New Roman"/>
          <w:sz w:val="32"/>
          <w:szCs w:val="32"/>
        </w:rPr>
        <w:tab/>
      </w:r>
      <w:r>
        <w:rPr>
          <w:rFonts w:hint="default" w:ascii="Times New Roman" w:hAnsi="Times New Roman" w:cs="Times New Roman"/>
          <w:sz w:val="32"/>
          <w:szCs w:val="32"/>
        </w:rPr>
        <w:tab/>
      </w:r>
      <w:r>
        <w:rPr>
          <w:rFonts w:hint="default" w:ascii="Times New Roman" w:hAnsi="Times New Roman" w:cs="Times New Roman"/>
          <w:b/>
          <w:bCs/>
          <w:sz w:val="32"/>
          <w:szCs w:val="32"/>
          <w:lang w:val="ro-RO"/>
        </w:rPr>
        <w:t>Licitație deschisă</w:t>
      </w:r>
    </w:p>
    <w:p/>
    <w:p/>
    <w:p/>
    <w:p/>
    <w:p/>
    <w:p/>
    <w:p/>
    <w:p/>
    <w:p/>
    <w:p/>
    <w:p/>
    <w:p/>
    <w:p/>
    <w:p>
      <w:pPr>
        <w:pStyle w:val="2"/>
        <w:numPr>
          <w:ilvl w:val="0"/>
          <w:numId w:val="0"/>
        </w:numPr>
        <w:ind w:left="360"/>
        <w:rPr>
          <w:rFonts w:hint="default" w:ascii="Times New Roman" w:hAnsi="Times New Roman" w:cs="Times New Roman"/>
          <w:color w:val="auto"/>
        </w:rPr>
      </w:pPr>
      <w:r>
        <w:rPr>
          <w:rFonts w:hint="default" w:ascii="Times New Roman" w:hAnsi="Times New Roman" w:cs="Times New Roman"/>
          <w:color w:val="auto"/>
          <w:lang w:val="ro-RO"/>
        </w:rPr>
        <w:t>CAPITOLUL I</w:t>
      </w:r>
      <w:bookmarkStart w:id="0" w:name="_Toc392180117"/>
      <w:bookmarkStart w:id="1" w:name="_Toc449539007"/>
      <w:r>
        <w:rPr>
          <w:rFonts w:hint="default" w:ascii="Times New Roman" w:hAnsi="Times New Roman" w:cs="Times New Roman"/>
          <w:color w:val="auto"/>
        </w:rPr>
        <w:t xml:space="preserve"> </w:t>
      </w:r>
    </w:p>
    <w:p>
      <w:pPr>
        <w:pStyle w:val="2"/>
        <w:numPr>
          <w:ilvl w:val="0"/>
          <w:numId w:val="0"/>
        </w:numPr>
        <w:ind w:left="360"/>
        <w:rPr>
          <w:rFonts w:hint="default" w:ascii="Times New Roman" w:hAnsi="Times New Roman" w:cs="Times New Roman"/>
          <w:color w:val="auto"/>
        </w:rPr>
      </w:pPr>
      <w:r>
        <w:rPr>
          <w:rFonts w:hint="default" w:ascii="Times New Roman" w:hAnsi="Times New Roman" w:cs="Times New Roman"/>
          <w:color w:val="auto"/>
        </w:rPr>
        <w:t>INSTRUCŢIUNI PENTRU OFERTANŢI (IPO)</w:t>
      </w:r>
      <w:bookmarkEnd w:id="0"/>
      <w:bookmarkEnd w:id="1"/>
    </w:p>
    <w:p>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hint="default" w:ascii="Times New Roman" w:hAnsi="Times New Roman" w:cs="Times New Roman"/>
          <w:i/>
          <w:color w:val="auto"/>
          <w:spacing w:val="-2"/>
        </w:rPr>
      </w:pPr>
      <w:r>
        <w:rPr>
          <w:rFonts w:hint="default" w:ascii="Times New Roman" w:hAnsi="Times New Roman" w:cs="Times New Roman"/>
          <w:i/>
          <w:color w:val="auto"/>
          <w:spacing w:val="-2"/>
        </w:rPr>
        <w:t>[Notă: nu se va modifica de către Autoritatea Contractantă]</w:t>
      </w:r>
    </w:p>
    <w:p>
      <w:pPr>
        <w:jc w:val="center"/>
        <w:rPr>
          <w:rFonts w:hint="default" w:ascii="Times New Roman" w:hAnsi="Times New Roman" w:cs="Times New Roman"/>
          <w:b/>
          <w:bCs/>
          <w:color w:val="auto"/>
        </w:rPr>
      </w:pPr>
      <w:bookmarkStart w:id="2" w:name="_Toc392180118"/>
      <w:bookmarkStart w:id="3" w:name="_Toc449539008"/>
      <w:r>
        <w:rPr>
          <w:rFonts w:hint="default" w:ascii="Times New Roman" w:hAnsi="Times New Roman" w:cs="Times New Roman"/>
          <w:b/>
          <w:bCs/>
          <w:color w:val="auto"/>
        </w:rPr>
        <w:t>Sec</w:t>
      </w:r>
      <w:r>
        <w:rPr>
          <w:rFonts w:hint="default" w:ascii="Times New Roman" w:hAnsi="Times New Roman" w:cs="Times New Roman"/>
          <w:b/>
          <w:bCs/>
          <w:color w:val="auto"/>
          <w:lang w:val="zh-CN"/>
        </w:rPr>
        <w:t xml:space="preserve">țiunea 1. </w:t>
      </w:r>
      <w:r>
        <w:rPr>
          <w:rFonts w:hint="default" w:ascii="Times New Roman" w:hAnsi="Times New Roman" w:cs="Times New Roman"/>
          <w:b/>
          <w:bCs/>
          <w:color w:val="auto"/>
        </w:rPr>
        <w:t>Dispoziții generale</w:t>
      </w:r>
      <w:bookmarkEnd w:id="2"/>
      <w:bookmarkEnd w:id="3"/>
    </w:p>
    <w:p>
      <w:pPr>
        <w:jc w:val="center"/>
        <w:rPr>
          <w:rFonts w:hint="default" w:ascii="Times New Roman" w:hAnsi="Times New Roman" w:cs="Times New Roman"/>
          <w:color w:val="auto"/>
        </w:rPr>
      </w:pPr>
    </w:p>
    <w:p>
      <w:pPr>
        <w:pStyle w:val="5"/>
        <w:keepNext w:val="0"/>
        <w:keepLines w:val="0"/>
        <w:numPr>
          <w:ilvl w:val="0"/>
          <w:numId w:val="3"/>
        </w:numPr>
        <w:tabs>
          <w:tab w:val="left" w:pos="960"/>
        </w:tabs>
        <w:spacing w:before="0" w:after="120"/>
        <w:ind w:left="0" w:leftChars="0" w:firstLine="480" w:firstLineChars="0"/>
        <w:rPr>
          <w:rFonts w:hint="default" w:ascii="Times New Roman" w:hAnsi="Times New Roman" w:cs="Times New Roman"/>
          <w:color w:val="auto"/>
        </w:rPr>
      </w:pPr>
      <w:bookmarkStart w:id="4" w:name="_Toc392180119"/>
      <w:bookmarkStart w:id="5" w:name="_Toc449539009"/>
      <w:r>
        <w:rPr>
          <w:rFonts w:hint="default" w:ascii="Times New Roman" w:hAnsi="Times New Roman" w:cs="Times New Roman"/>
          <w:color w:val="auto"/>
        </w:rPr>
        <w:t xml:space="preserve">Scopul procedurii de achiziție </w:t>
      </w:r>
      <w:bookmarkEnd w:id="4"/>
      <w:bookmarkEnd w:id="5"/>
    </w:p>
    <w:p>
      <w:pPr>
        <w:numPr>
          <w:ilvl w:val="1"/>
          <w:numId w:val="3"/>
        </w:numPr>
        <w:tabs>
          <w:tab w:val="left" w:pos="960"/>
          <w:tab w:val="left" w:pos="1080"/>
          <w:tab w:val="left" w:pos="1134"/>
        </w:tabs>
        <w:spacing w:after="120"/>
        <w:ind w:left="0" w:leftChars="0" w:firstLine="480" w:firstLineChars="0"/>
        <w:jc w:val="both"/>
        <w:rPr>
          <w:rFonts w:hint="default" w:ascii="Times New Roman" w:hAnsi="Times New Roman" w:cs="Times New Roman"/>
          <w:color w:val="auto"/>
        </w:rPr>
      </w:pPr>
      <w:r>
        <w:rPr>
          <w:rFonts w:hint="default" w:ascii="Times New Roman" w:hAnsi="Times New Roman" w:cs="Times New Roman"/>
          <w:color w:val="auto"/>
        </w:rPr>
        <w:t xml:space="preserve">Autoritatea contractantă, emite Documentele de atribuire în vederea achiziționării de bunuri, după cum este specificat în Fișa de Date a Achiziției (în continuare </w:t>
      </w:r>
      <w:r>
        <w:rPr>
          <w:rFonts w:hint="default" w:ascii="Times New Roman" w:hAnsi="Times New Roman" w:cs="Times New Roman"/>
          <w:b/>
          <w:color w:val="auto"/>
        </w:rPr>
        <w:t>FDA</w:t>
      </w:r>
      <w:r>
        <w:rPr>
          <w:rFonts w:hint="default" w:ascii="Times New Roman" w:hAnsi="Times New Roman" w:cs="Times New Roman"/>
          <w:color w:val="auto"/>
        </w:rPr>
        <w:t xml:space="preserve">). </w:t>
      </w:r>
    </w:p>
    <w:p>
      <w:pPr>
        <w:pStyle w:val="5"/>
        <w:keepNext w:val="0"/>
        <w:keepLines w:val="0"/>
        <w:numPr>
          <w:ilvl w:val="0"/>
          <w:numId w:val="3"/>
        </w:numPr>
        <w:tabs>
          <w:tab w:val="left" w:pos="960"/>
        </w:tabs>
        <w:spacing w:before="0" w:after="120"/>
        <w:ind w:left="0" w:leftChars="0" w:firstLine="480" w:firstLineChars="0"/>
        <w:rPr>
          <w:rFonts w:hint="default" w:ascii="Times New Roman" w:hAnsi="Times New Roman" w:cs="Times New Roman"/>
          <w:b w:val="0"/>
          <w:color w:val="auto"/>
        </w:rPr>
      </w:pPr>
      <w:bookmarkStart w:id="6" w:name="_Toc449539010"/>
      <w:bookmarkStart w:id="7" w:name="_Toc392180120"/>
      <w:r>
        <w:rPr>
          <w:rFonts w:hint="default" w:ascii="Times New Roman" w:hAnsi="Times New Roman" w:cs="Times New Roman"/>
          <w:color w:val="auto"/>
        </w:rPr>
        <w:t>Principiile care stau la baza atribuirii contractului de achiziţie</w:t>
      </w:r>
      <w:bookmarkEnd w:id="6"/>
      <w:bookmarkEnd w:id="7"/>
      <w:r>
        <w:rPr>
          <w:rFonts w:hint="default" w:ascii="Times New Roman" w:hAnsi="Times New Roman" w:cs="Times New Roman"/>
          <w:b w:val="0"/>
          <w:color w:val="auto"/>
        </w:rPr>
        <w:t xml:space="preserve"> </w:t>
      </w:r>
    </w:p>
    <w:p>
      <w:pPr>
        <w:tabs>
          <w:tab w:val="left" w:pos="1134"/>
        </w:tabs>
        <w:ind w:left="0" w:leftChars="0" w:firstLine="480" w:firstLineChars="0"/>
        <w:rPr>
          <w:rFonts w:hint="default" w:ascii="Times New Roman" w:hAnsi="Times New Roman" w:cs="Times New Roman"/>
          <w:color w:val="auto"/>
        </w:rPr>
      </w:pPr>
      <w:r>
        <w:rPr>
          <w:rFonts w:hint="default" w:ascii="Times New Roman" w:hAnsi="Times New Roman" w:cs="Times New Roman"/>
          <w:color w:val="auto"/>
          <w:szCs w:val="28"/>
        </w:rPr>
        <w:t>2.1.</w:t>
      </w:r>
      <w:r>
        <w:rPr>
          <w:rFonts w:hint="default" w:ascii="Times New Roman" w:hAnsi="Times New Roman" w:cs="Times New Roman"/>
          <w:color w:val="auto"/>
          <w:sz w:val="18"/>
        </w:rPr>
        <w:t xml:space="preserve"> </w:t>
      </w:r>
      <w:r>
        <w:rPr>
          <w:rFonts w:hint="default" w:ascii="Times New Roman" w:hAnsi="Times New Roman" w:cs="Times New Roman"/>
          <w:color w:val="auto"/>
        </w:rPr>
        <w:t>Principiile care stau la baza atribuirii contractului de achiziţie  sînt:</w:t>
      </w:r>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bookmarkStart w:id="8" w:name="_Toc392180121"/>
      <w:bookmarkStart w:id="9" w:name="_Toc449539011"/>
      <w:bookmarkStart w:id="10" w:name="_Toc392179950"/>
      <w:r>
        <w:rPr>
          <w:rFonts w:hint="default" w:ascii="Times New Roman" w:hAnsi="Times New Roman" w:cs="Times New Roman"/>
          <w:b w:val="0"/>
          <w:color w:val="auto"/>
        </w:rPr>
        <w:t>libera  concurenţă;</w:t>
      </w:r>
      <w:bookmarkEnd w:id="8"/>
      <w:bookmarkEnd w:id="9"/>
      <w:bookmarkEnd w:id="10"/>
    </w:p>
    <w:p>
      <w:pPr>
        <w:pStyle w:val="5"/>
        <w:keepNext w:val="0"/>
        <w:keepLines w:val="0"/>
        <w:numPr>
          <w:ilvl w:val="0"/>
          <w:numId w:val="4"/>
        </w:numPr>
        <w:tabs>
          <w:tab w:val="left" w:pos="720"/>
        </w:tabs>
        <w:spacing w:before="0"/>
        <w:ind w:left="0" w:leftChars="0" w:firstLine="480" w:firstLineChars="200"/>
        <w:jc w:val="both"/>
        <w:rPr>
          <w:rFonts w:hint="default" w:ascii="Times New Roman" w:hAnsi="Times New Roman" w:cs="Times New Roman"/>
          <w:b w:val="0"/>
          <w:color w:val="auto"/>
        </w:rPr>
      </w:pPr>
      <w:bookmarkStart w:id="11" w:name="_Toc449539012"/>
      <w:bookmarkStart w:id="12" w:name="_Toc392179951"/>
      <w:bookmarkStart w:id="13" w:name="_Toc392180122"/>
      <w:r>
        <w:rPr>
          <w:rFonts w:hint="default" w:ascii="Times New Roman" w:hAnsi="Times New Roman" w:cs="Times New Roman"/>
          <w:b w:val="0"/>
          <w:color w:val="auto"/>
        </w:rPr>
        <w:t>eficienţa utilizării fondurilor publice și minimizarea riscurilor autorităților/entițălilor contractante;</w:t>
      </w:r>
      <w:bookmarkEnd w:id="11"/>
      <w:bookmarkEnd w:id="12"/>
      <w:bookmarkEnd w:id="13"/>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bookmarkStart w:id="14" w:name="_Toc449539013"/>
      <w:bookmarkStart w:id="15" w:name="_Toc392179952"/>
      <w:bookmarkStart w:id="16" w:name="_Toc392180123"/>
      <w:r>
        <w:rPr>
          <w:rFonts w:hint="default" w:ascii="Times New Roman" w:hAnsi="Times New Roman" w:cs="Times New Roman"/>
          <w:b w:val="0"/>
          <w:color w:val="auto"/>
        </w:rPr>
        <w:t>transparenţa;</w:t>
      </w:r>
      <w:bookmarkEnd w:id="14"/>
      <w:bookmarkEnd w:id="15"/>
      <w:bookmarkEnd w:id="16"/>
    </w:p>
    <w:p>
      <w:pPr>
        <w:pStyle w:val="5"/>
        <w:keepNext w:val="0"/>
        <w:keepLines w:val="0"/>
        <w:numPr>
          <w:ilvl w:val="0"/>
          <w:numId w:val="4"/>
        </w:numPr>
        <w:tabs>
          <w:tab w:val="left" w:pos="720"/>
        </w:tabs>
        <w:spacing w:before="0"/>
        <w:ind w:left="0" w:leftChars="0" w:firstLine="480" w:firstLineChars="200"/>
        <w:jc w:val="both"/>
        <w:rPr>
          <w:rFonts w:hint="default" w:ascii="Times New Roman" w:hAnsi="Times New Roman" w:cs="Times New Roman"/>
          <w:b w:val="0"/>
          <w:color w:val="auto"/>
        </w:rPr>
      </w:pPr>
      <w:bookmarkStart w:id="17" w:name="_Toc392180124"/>
      <w:bookmarkStart w:id="18" w:name="_Toc392179953"/>
      <w:bookmarkStart w:id="19" w:name="_Toc449539014"/>
      <w:r>
        <w:rPr>
          <w:rFonts w:hint="default" w:ascii="Times New Roman" w:hAnsi="Times New Roman" w:cs="Times New Roman"/>
          <w:b w:val="0"/>
          <w:color w:val="auto"/>
        </w:rPr>
        <w:t>tratamentul egal, imparțial și nedescriminatoriu în privința tuturor ofertanților și operatorilor economici;</w:t>
      </w:r>
      <w:bookmarkEnd w:id="17"/>
      <w:bookmarkEnd w:id="18"/>
      <w:bookmarkEnd w:id="19"/>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bookmarkStart w:id="20" w:name="_Toc392180125"/>
      <w:bookmarkStart w:id="21" w:name="_Toc392179954"/>
      <w:bookmarkStart w:id="22" w:name="_Toc449539015"/>
      <w:r>
        <w:rPr>
          <w:rFonts w:hint="default" w:ascii="Times New Roman" w:hAnsi="Times New Roman" w:cs="Times New Roman"/>
          <w:b w:val="0"/>
          <w:color w:val="auto"/>
        </w:rPr>
        <w:t>protecția mediului;</w:t>
      </w:r>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r>
        <w:rPr>
          <w:rFonts w:hint="default" w:ascii="Times New Roman" w:hAnsi="Times New Roman" w:cs="Times New Roman"/>
          <w:b w:val="0"/>
          <w:color w:val="auto"/>
        </w:rPr>
        <w:t>respectarea ordinii de drept;</w:t>
      </w:r>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r>
        <w:rPr>
          <w:rFonts w:hint="default" w:ascii="Times New Roman" w:hAnsi="Times New Roman" w:cs="Times New Roman"/>
          <w:b w:val="0"/>
          <w:color w:val="auto"/>
        </w:rPr>
        <w:t>confidenţialitatea</w:t>
      </w:r>
      <w:bookmarkEnd w:id="20"/>
      <w:bookmarkEnd w:id="21"/>
      <w:bookmarkEnd w:id="22"/>
      <w:r>
        <w:rPr>
          <w:rFonts w:hint="default" w:ascii="Times New Roman" w:hAnsi="Times New Roman" w:cs="Times New Roman"/>
          <w:b w:val="0"/>
          <w:color w:val="auto"/>
        </w:rPr>
        <w:t>;</w:t>
      </w:r>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r>
        <w:rPr>
          <w:rFonts w:hint="default" w:ascii="Times New Roman" w:hAnsi="Times New Roman" w:cs="Times New Roman"/>
          <w:b w:val="0"/>
          <w:color w:val="auto"/>
        </w:rPr>
        <w:t xml:space="preserve">asumarea răspunderii în cadrul procedurilor de achiziţie </w:t>
      </w:r>
    </w:p>
    <w:p>
      <w:pPr>
        <w:ind w:left="0" w:leftChars="0" w:firstLine="480" w:firstLineChars="200"/>
        <w:rPr>
          <w:rFonts w:hint="default" w:ascii="Times New Roman" w:hAnsi="Times New Roman" w:cs="Times New Roman"/>
          <w:color w:val="auto"/>
        </w:rPr>
      </w:pPr>
    </w:p>
    <w:p>
      <w:pPr>
        <w:pStyle w:val="5"/>
        <w:keepNext w:val="0"/>
        <w:keepLines w:val="0"/>
        <w:numPr>
          <w:ilvl w:val="0"/>
          <w:numId w:val="3"/>
        </w:numPr>
        <w:tabs>
          <w:tab w:val="left" w:pos="960"/>
        </w:tabs>
        <w:spacing w:before="0" w:after="120"/>
        <w:ind w:left="0" w:firstLine="567"/>
        <w:rPr>
          <w:rFonts w:hint="default" w:ascii="Times New Roman" w:hAnsi="Times New Roman" w:cs="Times New Roman"/>
          <w:color w:val="auto"/>
        </w:rPr>
      </w:pPr>
      <w:bookmarkStart w:id="23" w:name="_Toc449539017"/>
      <w:bookmarkStart w:id="24" w:name="_Toc392180127"/>
      <w:r>
        <w:rPr>
          <w:rFonts w:hint="default" w:ascii="Times New Roman" w:hAnsi="Times New Roman" w:cs="Times New Roman"/>
          <w:color w:val="auto"/>
        </w:rPr>
        <w:t>Sursa de finanţare</w:t>
      </w:r>
      <w:bookmarkEnd w:id="23"/>
      <w:bookmarkEnd w:id="24"/>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 În </w:t>
      </w:r>
      <w:r>
        <w:rPr>
          <w:rFonts w:hint="default" w:ascii="Times New Roman" w:hAnsi="Times New Roman" w:cs="Times New Roman"/>
          <w:b/>
          <w:color w:val="auto"/>
        </w:rPr>
        <w:t>FDA</w:t>
      </w:r>
      <w:r>
        <w:rPr>
          <w:rFonts w:hint="default" w:ascii="Times New Roman" w:hAnsi="Times New Roman" w:cs="Times New Roman"/>
          <w:color w:val="auto"/>
        </w:rPr>
        <w:t xml:space="preserve"> va fi specificată sursa de finanțare pentru plăţile contractului ce urmează a fi atribuit.  </w:t>
      </w:r>
    </w:p>
    <w:p>
      <w:pPr>
        <w:pStyle w:val="5"/>
        <w:keepNext w:val="0"/>
        <w:keepLines w:val="0"/>
        <w:numPr>
          <w:ilvl w:val="0"/>
          <w:numId w:val="3"/>
        </w:numPr>
        <w:tabs>
          <w:tab w:val="left" w:pos="360"/>
          <w:tab w:val="left" w:pos="960"/>
        </w:tabs>
        <w:spacing w:before="0" w:after="120"/>
        <w:ind w:left="0" w:firstLine="567"/>
        <w:rPr>
          <w:rFonts w:hint="default" w:ascii="Times New Roman" w:hAnsi="Times New Roman" w:cs="Times New Roman"/>
          <w:color w:val="auto"/>
        </w:rPr>
      </w:pPr>
      <w:bookmarkStart w:id="25" w:name="_Toc449539018"/>
      <w:bookmarkStart w:id="26" w:name="_Toc392180128"/>
      <w:r>
        <w:rPr>
          <w:rFonts w:hint="default" w:ascii="Times New Roman" w:hAnsi="Times New Roman" w:cs="Times New Roman"/>
          <w:color w:val="auto"/>
        </w:rPr>
        <w:t>Participanţii la licitaţie</w:t>
      </w:r>
      <w:bookmarkEnd w:id="25"/>
      <w:bookmarkEnd w:id="26"/>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 Participant la licitaţie poate fi orice operator economic rezident sau nerezident, persoană fizică sau juridică  de drept public sau privat ori asociație de astfel de persoane, care are dreptul de a participa la procedura de atribuire a contractului de achiziţii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rPr>
        <w:t>Dreptul de participare la procedurile de atribuire a contractelor de achiziţii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Pr>
          <w:rFonts w:hint="default" w:ascii="Times New Roman" w:hAnsi="Times New Roman" w:cs="Times New Roman"/>
          <w:color w:val="auto"/>
        </w:rPr>
        <w:br w:type="textWrapping"/>
      </w:r>
      <w:bookmarkStart w:id="27" w:name="_Toc392180129"/>
      <w:bookmarkStart w:id="28" w:name="_Toc449539019"/>
    </w:p>
    <w:p>
      <w:pPr>
        <w:pStyle w:val="5"/>
        <w:keepNext w:val="0"/>
        <w:keepLines w:val="0"/>
        <w:numPr>
          <w:ilvl w:val="0"/>
          <w:numId w:val="3"/>
        </w:numPr>
        <w:tabs>
          <w:tab w:val="left" w:pos="360"/>
          <w:tab w:val="left" w:pos="960"/>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 xml:space="preserve">Cheltuielile de participare la </w:t>
      </w:r>
      <w:bookmarkEnd w:id="27"/>
      <w:bookmarkEnd w:id="28"/>
      <w:r>
        <w:rPr>
          <w:rFonts w:hint="default" w:ascii="Times New Roman" w:hAnsi="Times New Roman" w:cs="Times New Roman"/>
          <w:color w:val="auto"/>
        </w:rPr>
        <w:t>procedura de achiziție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Ofertantul suportă toate costurile legate de pregătirea şi înaintarea ofertei, iar autoritatea contractantă nu poartă nici o responsabilitate pentru aceste costuri, indiferent de desfăşurarea sau rezultatul procedurii de licitaţie.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La depunerea ofertelor, operatorul economic, după caz, va achita o taxă. Modul de achitare a taxei menţionate, precum şi cuantumul acesteia sînt stabilite de Guvern.</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Achitarea taxei pentru depunerea ofertei se va efectua prin intermediul platformei de achiziții electronice prin care se depune oferta.</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960"/>
        </w:tabs>
        <w:spacing w:before="0" w:after="120"/>
        <w:ind w:left="0" w:firstLine="567"/>
        <w:rPr>
          <w:rFonts w:hint="default" w:ascii="Times New Roman" w:hAnsi="Times New Roman" w:cs="Times New Roman"/>
          <w:color w:val="auto"/>
        </w:rPr>
      </w:pPr>
      <w:bookmarkStart w:id="29" w:name="_Toc449539020"/>
      <w:bookmarkStart w:id="30" w:name="_Toc392180130"/>
      <w:r>
        <w:rPr>
          <w:rFonts w:hint="default" w:ascii="Times New Roman" w:hAnsi="Times New Roman" w:cs="Times New Roman"/>
          <w:color w:val="auto"/>
        </w:rPr>
        <w:t>Limba de comunicare în cadrul licitaţiei</w:t>
      </w:r>
      <w:bookmarkEnd w:id="29"/>
      <w:bookmarkEnd w:id="30"/>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 Documentul Unic de Achiziții European (în continuare </w:t>
      </w:r>
      <w:r>
        <w:rPr>
          <w:rFonts w:hint="default" w:ascii="Times New Roman" w:hAnsi="Times New Roman" w:cs="Times New Roman"/>
          <w:b/>
          <w:color w:val="auto"/>
        </w:rPr>
        <w:t>DUAE</w:t>
      </w:r>
      <w:r>
        <w:rPr>
          <w:rFonts w:hint="default" w:ascii="Times New Roman" w:hAnsi="Times New Roman" w:cs="Times New Roman"/>
          <w:color w:val="auto"/>
        </w:rP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poate specifica după caz, în </w:t>
      </w:r>
      <w:r>
        <w:rPr>
          <w:rFonts w:hint="default" w:ascii="Times New Roman" w:hAnsi="Times New Roman" w:cs="Times New Roman"/>
          <w:b/>
          <w:color w:val="auto"/>
        </w:rPr>
        <w:t>FDA</w:t>
      </w:r>
      <w:r>
        <w:rPr>
          <w:rFonts w:hint="default" w:ascii="Times New Roman" w:hAnsi="Times New Roman" w:cs="Times New Roman"/>
          <w:color w:val="auto"/>
        </w:rPr>
        <w:t xml:space="preserve"> posibilitatea depunerii ofertei și într-o altă limbă de circulație internațională.</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31" w:name="_Toc392180131"/>
      <w:bookmarkStart w:id="32" w:name="_Toc449539021"/>
      <w:r>
        <w:rPr>
          <w:rFonts w:hint="default" w:ascii="Times New Roman" w:hAnsi="Times New Roman" w:cs="Times New Roman"/>
          <w:color w:val="auto"/>
        </w:rPr>
        <w:t>Secţiunile Documentelor de atribuire</w:t>
      </w:r>
      <w:bookmarkEnd w:id="31"/>
      <w:bookmarkEnd w:id="32"/>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Documentele de atribuire includ toate secţiunile indicate în prezentul punct şi trebuie citite în conjuncţie cu orice modificare conform punctului</w:t>
      </w:r>
      <w:r>
        <w:rPr>
          <w:rFonts w:hint="default" w:ascii="Times New Roman" w:hAnsi="Times New Roman" w:cs="Times New Roman"/>
          <w:color w:val="auto"/>
          <w:shd w:val="clear" w:color="auto" w:fill="FFFFFF" w:themeFill="background1"/>
        </w:rPr>
        <w:t xml:space="preserve"> IPO8.</w:t>
      </w:r>
    </w:p>
    <w:p>
      <w:pPr>
        <w:keepNext w:val="0"/>
        <w:keepLines w:val="0"/>
        <w:pageBreakBefore w:val="0"/>
        <w:widowControl/>
        <w:tabs>
          <w:tab w:val="left" w:pos="1134"/>
          <w:tab w:val="left" w:pos="1602"/>
          <w:tab w:val="left" w:pos="2502"/>
        </w:tabs>
        <w:kinsoku/>
        <w:wordWrap/>
        <w:overflowPunct/>
        <w:topLinePunct w:val="0"/>
        <w:autoSpaceDE/>
        <w:autoSpaceDN/>
        <w:bidi w:val="0"/>
        <w:adjustRightInd/>
        <w:snapToGrid/>
        <w:spacing w:after="0"/>
        <w:ind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CAPITOLUL I. Instrucţiuni pentru ofertanţi </w:t>
      </w:r>
    </w:p>
    <w:p>
      <w:pPr>
        <w:keepNext w:val="0"/>
        <w:keepLines w:val="0"/>
        <w:pageBreakBefore w:val="0"/>
        <w:widowControl/>
        <w:tabs>
          <w:tab w:val="left" w:pos="1134"/>
          <w:tab w:val="left" w:pos="1602"/>
          <w:tab w:val="left" w:pos="2502"/>
        </w:tabs>
        <w:kinsoku/>
        <w:wordWrap/>
        <w:overflowPunct/>
        <w:topLinePunct w:val="0"/>
        <w:autoSpaceDE/>
        <w:autoSpaceDN/>
        <w:bidi w:val="0"/>
        <w:adjustRightInd/>
        <w:snapToGrid/>
        <w:spacing w:after="0"/>
        <w:ind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CAPITOLUL II. Fişa de date a achiziţiei </w:t>
      </w:r>
    </w:p>
    <w:p>
      <w:pPr>
        <w:keepNext w:val="0"/>
        <w:keepLines w:val="0"/>
        <w:pageBreakBefore w:val="0"/>
        <w:widowControl/>
        <w:tabs>
          <w:tab w:val="left" w:pos="1134"/>
          <w:tab w:val="left" w:pos="1602"/>
          <w:tab w:val="left" w:pos="2502"/>
        </w:tabs>
        <w:kinsoku/>
        <w:wordWrap/>
        <w:overflowPunct/>
        <w:topLinePunct w:val="0"/>
        <w:autoSpaceDE/>
        <w:autoSpaceDN/>
        <w:bidi w:val="0"/>
        <w:adjustRightInd/>
        <w:snapToGrid/>
        <w:spacing w:after="0"/>
        <w:ind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CAPITOLUL III. Formulare pentru depunerea ofertei</w:t>
      </w:r>
    </w:p>
    <w:p>
      <w:pPr>
        <w:keepNext w:val="0"/>
        <w:keepLines w:val="0"/>
        <w:pageBreakBefore w:val="0"/>
        <w:widowControl/>
        <w:tabs>
          <w:tab w:val="left" w:pos="1134"/>
          <w:tab w:val="left" w:pos="1602"/>
          <w:tab w:val="left" w:pos="2502"/>
        </w:tabs>
        <w:kinsoku/>
        <w:wordWrap/>
        <w:overflowPunct/>
        <w:topLinePunct w:val="0"/>
        <w:autoSpaceDE/>
        <w:autoSpaceDN/>
        <w:bidi w:val="0"/>
        <w:adjustRightInd/>
        <w:snapToGrid/>
        <w:spacing w:after="0"/>
        <w:ind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CAPITOLUL IV. Specificații tehnice și de preț.</w:t>
      </w:r>
    </w:p>
    <w:p>
      <w:pPr>
        <w:tabs>
          <w:tab w:val="left" w:pos="1134"/>
          <w:tab w:val="left" w:pos="1602"/>
          <w:tab w:val="left" w:pos="2502"/>
        </w:tabs>
        <w:ind w:firstLine="567"/>
        <w:jc w:val="both"/>
        <w:rPr>
          <w:rFonts w:hint="default" w:ascii="Times New Roman" w:hAnsi="Times New Roman" w:cs="Times New Roman"/>
          <w:color w:val="auto"/>
        </w:rPr>
      </w:pPr>
      <w:r>
        <w:rPr>
          <w:rFonts w:hint="default" w:ascii="Times New Roman" w:hAnsi="Times New Roman" w:cs="Times New Roman"/>
          <w:color w:val="auto"/>
        </w:rPr>
        <w:t>CAPITOLUL V. Formularul de contract</w:t>
      </w:r>
    </w:p>
    <w:p>
      <w:pPr>
        <w:tabs>
          <w:tab w:val="left" w:pos="1134"/>
          <w:tab w:val="left" w:pos="1602"/>
          <w:tab w:val="left" w:pos="2502"/>
        </w:tabs>
        <w:ind w:firstLine="567"/>
        <w:jc w:val="both"/>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33" w:name="_Toc449539022"/>
      <w:bookmarkStart w:id="34" w:name="_Toc392180132"/>
      <w:r>
        <w:rPr>
          <w:rFonts w:hint="default" w:ascii="Times New Roman" w:hAnsi="Times New Roman" w:cs="Times New Roman"/>
          <w:color w:val="auto"/>
        </w:rPr>
        <w:t>Clarificarea şi modificarea documentelor de atribuire</w:t>
      </w:r>
      <w:bookmarkEnd w:id="33"/>
      <w:bookmarkEnd w:id="34"/>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Participantul care solicită clarificări asupra documentelor de atribuire va contacta autoritatea contractantă în scris, prin mijloace electronice de comunicare</w:t>
      </w:r>
      <w:r>
        <w:rPr>
          <w:rFonts w:hint="default" w:ascii="Times New Roman" w:hAnsi="Times New Roman" w:cs="Times New Roman"/>
          <w:b/>
          <w:color w:val="auto"/>
        </w:rPr>
        <w:t>.</w:t>
      </w:r>
      <w:r>
        <w:rPr>
          <w:rFonts w:hint="default" w:ascii="Times New Roman" w:hAnsi="Times New Roman" w:cs="Times New Roman"/>
          <w:color w:val="auto"/>
        </w:rPr>
        <w:t xml:space="preserve"> Autoritatea contractantă va răspunde în scris, prin mijloace electronice de comunicare la orice cerere de clarificare, înainte de termenul-limită pentru depunerea ofertelor.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 xml:space="preserve">În cazul în care operatorul economic nu a transmis solicitarea de clarificare în timp util, punînd astfel autoritatea contractantă în imposibilitate de a respecta termenele prevăzute </w:t>
      </w:r>
      <w:r>
        <w:rPr>
          <w:rFonts w:hint="default" w:ascii="Times New Roman" w:hAnsi="Times New Roman" w:cs="Times New Roman"/>
          <w:color w:val="auto"/>
        </w:rPr>
        <w:t>de legislație</w:t>
      </w:r>
      <w:r>
        <w:rPr>
          <w:rFonts w:hint="default" w:ascii="Times New Roman" w:hAnsi="Times New Roman" w:cs="Times New Roman"/>
          <w:color w:val="auto"/>
          <w:lang w:val="en-GB"/>
        </w:rPr>
        <w:t>, aceasta din urmă este în drept să nu răspundă.</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Practicile de corupere şi alte practici interzise</w:t>
      </w:r>
      <w:bookmarkEnd w:id="35"/>
      <w:bookmarkEnd w:id="36"/>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Autoritățile contractante şi participanţii la licitaţii vor respecta cele mai înalte standarde ale eticii de conduită în desfăşurarea şi implementarea proceselor de achiziţii, precum şi în executarea contractelor de achiziție .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În cazul în care autoritatea contractantă va depista că ofertantul a fost implicat în practicile menționate la punctul IPO9.4 în cadrul procesului de concurenţă pentru contractul de achiziţie  sau pe parcursul executării contractului, aceasta: </w:t>
      </w:r>
    </w:p>
    <w:p>
      <w:pPr>
        <w:pStyle w:val="5"/>
        <w:keepNext w:val="0"/>
        <w:keepLines w:val="0"/>
        <w:pageBreakBefore w:val="0"/>
        <w:widowControl/>
        <w:numPr>
          <w:ilvl w:val="0"/>
          <w:numId w:val="5"/>
        </w:numPr>
        <w:tabs>
          <w:tab w:val="left" w:pos="360"/>
          <w:tab w:val="left" w:pos="960"/>
        </w:tabs>
        <w:kinsoku/>
        <w:wordWrap/>
        <w:overflowPunct/>
        <w:topLinePunct w:val="0"/>
        <w:autoSpaceDE/>
        <w:autoSpaceDN/>
        <w:bidi w:val="0"/>
        <w:adjustRightInd/>
        <w:snapToGrid/>
        <w:spacing w:before="0" w:after="0"/>
        <w:ind w:left="0" w:firstLine="567"/>
        <w:textAlignment w:val="auto"/>
        <w:rPr>
          <w:rFonts w:hint="default" w:ascii="Times New Roman" w:hAnsi="Times New Roman" w:cs="Times New Roman"/>
          <w:b w:val="0"/>
          <w:color w:val="auto"/>
        </w:rPr>
      </w:pPr>
      <w:bookmarkStart w:id="37" w:name="_Toc449539024"/>
      <w:bookmarkStart w:id="38" w:name="_Toc392179963"/>
      <w:bookmarkStart w:id="39" w:name="_Toc392180134"/>
      <w:r>
        <w:rPr>
          <w:rFonts w:hint="default"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Pr>
          <w:rFonts w:hint="default" w:ascii="Times New Roman" w:hAnsi="Times New Roman" w:cs="Times New Roman"/>
          <w:b w:val="0"/>
          <w:color w:val="auto"/>
        </w:rPr>
        <w:t xml:space="preserve"> </w:t>
      </w:r>
    </w:p>
    <w:p>
      <w:pPr>
        <w:pStyle w:val="5"/>
        <w:keepNext w:val="0"/>
        <w:keepLines w:val="0"/>
        <w:pageBreakBefore w:val="0"/>
        <w:widowControl/>
        <w:numPr>
          <w:ilvl w:val="0"/>
          <w:numId w:val="5"/>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40" w:name="_Toc392179964"/>
      <w:bookmarkStart w:id="41" w:name="_Toc392180135"/>
      <w:bookmarkStart w:id="42" w:name="_Toc449539025"/>
      <w:r>
        <w:rPr>
          <w:rFonts w:hint="default" w:ascii="Times New Roman" w:hAnsi="Times New Roman" w:cs="Times New Roman"/>
          <w:b w:val="0"/>
          <w:color w:val="auto"/>
        </w:rPr>
        <w:t xml:space="preserve">va întreprinde orice alte măsuri prevăzute </w:t>
      </w:r>
      <w:bookmarkEnd w:id="40"/>
      <w:bookmarkEnd w:id="41"/>
      <w:bookmarkEnd w:id="42"/>
      <w:r>
        <w:rPr>
          <w:rFonts w:hint="default" w:ascii="Times New Roman" w:hAnsi="Times New Roman" w:cs="Times New Roman"/>
          <w:b w:val="0"/>
          <w:color w:val="auto"/>
        </w:rPr>
        <w:t>de legislație.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cazul în care, Agenția Achiziții Publice, în procesul de monitorizare a procedurilor de achiziții publice, constată că un operator economic a fost implicat în practicile menționate la punctul IPO9.4</w:t>
      </w:r>
      <w:r>
        <w:rPr>
          <w:rFonts w:hint="default" w:ascii="Times New Roman" w:hAnsi="Times New Roman" w:cs="Times New Roman"/>
          <w:b/>
          <w:color w:val="auto"/>
        </w:rPr>
        <w:t xml:space="preserve">, </w:t>
      </w:r>
      <w:r>
        <w:rPr>
          <w:rFonts w:hint="default" w:ascii="Times New Roman" w:hAnsi="Times New Roman" w:cs="Times New Roman"/>
          <w:color w:val="auto"/>
        </w:rPr>
        <w:t>va raporta imediat organelor competente fiecare caz de corupere sau de tentativă de corupere comis de operatorul economic respectiv.</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cadrul procedurilor de achiziție și executării contractului, nu se permit următoarele acţiuni:</w:t>
      </w:r>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43" w:name="_Toc449539026"/>
      <w:bookmarkStart w:id="44" w:name="_Toc392179965"/>
      <w:bookmarkStart w:id="45" w:name="_Toc392180136"/>
      <w:r>
        <w:rPr>
          <w:rFonts w:hint="default"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Pr>
          <w:rFonts w:hint="default" w:ascii="Times New Roman" w:hAnsi="Times New Roman" w:cs="Times New Roman"/>
          <w:b w:val="0"/>
          <w:color w:val="auto"/>
        </w:rPr>
        <w:t xml:space="preserve">  </w:t>
      </w:r>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46" w:name="_Toc392180137"/>
      <w:bookmarkStart w:id="47" w:name="_Toc392179966"/>
      <w:bookmarkStart w:id="48" w:name="_Toc449539027"/>
      <w:r>
        <w:rPr>
          <w:rFonts w:hint="default"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Pr>
          <w:rFonts w:hint="default" w:ascii="Times New Roman" w:hAnsi="Times New Roman" w:cs="Times New Roman"/>
          <w:b w:val="0"/>
          <w:color w:val="auto"/>
        </w:rPr>
        <w:t xml:space="preserve"> </w:t>
      </w:r>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49" w:name="_Toc449539028"/>
      <w:bookmarkStart w:id="50" w:name="_Toc392180138"/>
      <w:bookmarkStart w:id="51" w:name="_Toc392179967"/>
      <w:r>
        <w:rPr>
          <w:rFonts w:hint="default" w:ascii="Times New Roman" w:hAnsi="Times New Roman" w:cs="Times New Roman"/>
          <w:b w:val="0"/>
          <w:color w:val="auto"/>
        </w:rPr>
        <w:t>înţelegerea interzisă de lege, între două sau mai multe părţi, realizată în scopul coordonării comportamentului lor la procedurile de achiziţii;</w:t>
      </w:r>
      <w:bookmarkEnd w:id="49"/>
      <w:bookmarkEnd w:id="50"/>
      <w:bookmarkEnd w:id="51"/>
    </w:p>
    <w:p>
      <w:pPr>
        <w:rPr>
          <w:rFonts w:hint="default" w:ascii="Times New Roman" w:hAnsi="Times New Roman" w:cs="Times New Roman"/>
          <w:color w:val="auto"/>
        </w:rPr>
      </w:pPr>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52" w:name="_Toc449539029"/>
      <w:bookmarkStart w:id="53" w:name="_Toc392180139"/>
      <w:bookmarkStart w:id="54" w:name="_Toc392179968"/>
      <w:r>
        <w:rPr>
          <w:rFonts w:hint="default"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55" w:name="_Toc392179969"/>
      <w:bookmarkStart w:id="56" w:name="_Toc449539030"/>
      <w:bookmarkStart w:id="57" w:name="_Toc392180140"/>
      <w:r>
        <w:rPr>
          <w:rFonts w:hint="default"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Personalul autorităţii contractante are obligația de a  exclude practicile de corupere  în vederea obţinerii beneficiilor personale în legătură cu desfăşurarea procedurii de achiziţii .</w:t>
      </w:r>
    </w:p>
    <w:p>
      <w:pPr>
        <w:tabs>
          <w:tab w:val="left" w:pos="960"/>
          <w:tab w:val="left" w:pos="1134"/>
        </w:tabs>
        <w:spacing w:after="120"/>
        <w:jc w:val="both"/>
        <w:rPr>
          <w:rFonts w:hint="default" w:ascii="Times New Roman" w:hAnsi="Times New Roman" w:cs="Times New Roman"/>
          <w:color w:val="auto"/>
        </w:rPr>
      </w:pP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58" w:name="_Toc392180141"/>
      <w:bookmarkStart w:id="59" w:name="_Toc449539031"/>
      <w:r>
        <w:rPr>
          <w:rFonts w:hint="default" w:ascii="Times New Roman" w:hAnsi="Times New Roman" w:cs="Times New Roman"/>
          <w:color w:val="auto"/>
        </w:rPr>
        <w:t>Secțiunea a-2-a. Criterii de calificare</w:t>
      </w:r>
      <w:bookmarkEnd w:id="58"/>
      <w:bookmarkEnd w:id="59"/>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60" w:name="_Toc392180142"/>
      <w:bookmarkStart w:id="61" w:name="_Toc449539032"/>
      <w:r>
        <w:rPr>
          <w:rFonts w:hint="default" w:ascii="Times New Roman" w:hAnsi="Times New Roman" w:cs="Times New Roman"/>
          <w:color w:val="auto"/>
        </w:rPr>
        <w:t>Criterii generale</w:t>
      </w:r>
      <w:bookmarkEnd w:id="60"/>
      <w:bookmarkEnd w:id="61"/>
    </w:p>
    <w:p>
      <w:pPr>
        <w:keepNext w:val="0"/>
        <w:keepLines w:val="0"/>
        <w:pageBreakBefore w:val="0"/>
        <w:widowControl/>
        <w:numPr>
          <w:ilvl w:val="1"/>
          <w:numId w:val="3"/>
        </w:numPr>
        <w:tabs>
          <w:tab w:val="left" w:pos="960"/>
          <w:tab w:val="left" w:pos="1134"/>
        </w:tabs>
        <w:kinsoku/>
        <w:wordWrap/>
        <w:overflowPunct/>
        <w:topLinePunct w:val="0"/>
        <w:bidi w:val="0"/>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Pentru confirmarea datelor de calificare în cadrul procedurii de achiziţii, operatorul economic va completa și va prezenta </w:t>
      </w:r>
      <w:r>
        <w:rPr>
          <w:rFonts w:hint="default" w:ascii="Times New Roman" w:hAnsi="Times New Roman" w:cs="Times New Roman"/>
          <w:b/>
          <w:color w:val="auto"/>
        </w:rPr>
        <w:t>DUAE</w:t>
      </w:r>
      <w:r>
        <w:rPr>
          <w:rFonts w:hint="default" w:ascii="Times New Roman" w:hAnsi="Times New Roman" w:cs="Times New Roman"/>
          <w:color w:val="auto"/>
        </w:rPr>
        <w:t xml:space="preserve">, în conformitate cu cerințele stabilite de autoritatea contractantă. </w:t>
      </w:r>
    </w:p>
    <w:p>
      <w:pPr>
        <w:keepNext w:val="0"/>
        <w:keepLines w:val="0"/>
        <w:pageBreakBefore w:val="0"/>
        <w:widowControl/>
        <w:numPr>
          <w:ilvl w:val="1"/>
          <w:numId w:val="3"/>
        </w:numPr>
        <w:tabs>
          <w:tab w:val="left" w:pos="960"/>
          <w:tab w:val="left" w:pos="1134"/>
        </w:tabs>
        <w:kinsoku/>
        <w:wordWrap/>
        <w:overflowPunct/>
        <w:topLinePunct w:val="0"/>
        <w:bidi w:val="0"/>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Prezentarea oricărui alt formular </w:t>
      </w:r>
      <w:r>
        <w:rPr>
          <w:rFonts w:hint="default" w:ascii="Times New Roman" w:hAnsi="Times New Roman" w:cs="Times New Roman"/>
          <w:b/>
          <w:color w:val="auto"/>
        </w:rPr>
        <w:t>DUAE</w:t>
      </w:r>
      <w:r>
        <w:rPr>
          <w:rFonts w:hint="default" w:ascii="Times New Roman" w:hAnsi="Times New Roman" w:cs="Times New Roman"/>
          <w:color w:val="auto"/>
        </w:rPr>
        <w:t xml:space="preserve"> decît cel solicitat de către autoritatea contractantă, va servi ca temei de descalificare de la procedura de achiziție .  </w:t>
      </w:r>
    </w:p>
    <w:p>
      <w:pPr>
        <w:keepNext w:val="0"/>
        <w:keepLines w:val="0"/>
        <w:pageBreakBefore w:val="0"/>
        <w:widowControl/>
        <w:tabs>
          <w:tab w:val="left" w:pos="960"/>
          <w:tab w:val="left" w:pos="1134"/>
        </w:tabs>
        <w:kinsoku/>
        <w:wordWrap/>
        <w:overflowPunct/>
        <w:topLinePunct w:val="0"/>
        <w:bidi w:val="0"/>
        <w:snapToGrid/>
        <w:spacing w:after="0"/>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 Autoritatea contractantă va aplica criterii și cerințe de calificare numai referitoare la:</w:t>
      </w:r>
    </w:p>
    <w:p>
      <w:pPr>
        <w:pStyle w:val="12"/>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 xml:space="preserve">eligibilitatea ofertantului sau candidatului; </w:t>
      </w:r>
    </w:p>
    <w:p>
      <w:pPr>
        <w:pStyle w:val="12"/>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capacitatea de exercitare a activității profesionale;</w:t>
      </w:r>
    </w:p>
    <w:p>
      <w:pPr>
        <w:pStyle w:val="12"/>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 xml:space="preserve">capacitatea economică şi financiară; </w:t>
      </w:r>
    </w:p>
    <w:p>
      <w:pPr>
        <w:pStyle w:val="12"/>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 xml:space="preserve">capacitatea tehnică şi/sau profesională;  </w:t>
      </w:r>
    </w:p>
    <w:p>
      <w:pPr>
        <w:pStyle w:val="12"/>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 xml:space="preserve">standarde de asigurare a calității; </w:t>
      </w:r>
    </w:p>
    <w:p>
      <w:pPr>
        <w:pStyle w:val="3"/>
        <w:keepNext w:val="0"/>
        <w:keepLines w:val="0"/>
        <w:pageBreakBefore w:val="0"/>
        <w:widowControl/>
        <w:numPr>
          <w:ilvl w:val="0"/>
          <w:numId w:val="7"/>
        </w:numPr>
        <w:kinsoku/>
        <w:wordWrap/>
        <w:overflowPunct/>
        <w:topLinePunct w:val="0"/>
        <w:bidi w:val="0"/>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standarde de protecţie a mediului.</w:t>
      </w:r>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62" w:name="_Toc449539033"/>
      <w:bookmarkStart w:id="63" w:name="_Toc392180143"/>
      <w:r>
        <w:rPr>
          <w:rFonts w:hint="default" w:ascii="Times New Roman" w:hAnsi="Times New Roman" w:cs="Times New Roman"/>
          <w:color w:val="auto"/>
        </w:rPr>
        <w:t>Eligibilitatea ofertantului</w:t>
      </w:r>
      <w:bookmarkEnd w:id="62"/>
      <w:bookmarkEnd w:id="63"/>
      <w:r>
        <w:rPr>
          <w:rFonts w:hint="default" w:ascii="Times New Roman" w:hAnsi="Times New Roman" w:cs="Times New Roman"/>
          <w:color w:val="auto"/>
        </w:rPr>
        <w:t xml:space="preserve"> sau candidatului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Orice operator economic, rezident sau nerezident, persoană fizică sau juridică de drept public sau privat ori asociație de astfel de persoane are dreptul de a participa la procedura de atribuire a contractului de achiziţie  .</w:t>
      </w:r>
    </w:p>
    <w:p>
      <w:pPr>
        <w:keepNext w:val="0"/>
        <w:keepLines w:val="0"/>
        <w:pageBreakBefore w:val="0"/>
        <w:widowControl/>
        <w:numPr>
          <w:ilvl w:val="1"/>
          <w:numId w:val="3"/>
        </w:numPr>
        <w:tabs>
          <w:tab w:val="left" w:pos="0"/>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eastAsia="ro-RO"/>
        </w:rPr>
        <w:t>Va fi exclus de la procedura de atribuire a contractului de achiziții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Va fi exclus de la procedura pentru atribuire a contractului de achiziţie , şi respectiv nu este eligibil, orice ofertant care se află în oricare dintre următoarele situaţii:</w:t>
      </w:r>
    </w:p>
    <w:p>
      <w:pPr>
        <w:keepNext w:val="0"/>
        <w:keepLines w:val="0"/>
        <w:pageBreakBefore w:val="0"/>
        <w:widowControl/>
        <w:numPr>
          <w:ilvl w:val="0"/>
          <w:numId w:val="8"/>
        </w:numPr>
        <w:tabs>
          <w:tab w:val="left" w:pos="96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lang w:val="en-GB"/>
        </w:rPr>
        <w:t>se află în proces de insolvabilitate</w:t>
      </w:r>
      <w:r>
        <w:rPr>
          <w:rFonts w:hint="default" w:ascii="Times New Roman" w:hAnsi="Times New Roman" w:cs="Times New Roman"/>
          <w:color w:val="auto"/>
          <w:lang w:val="en-US"/>
        </w:rPr>
        <w:t xml:space="preserve"> ca urmare a hotărîrii judecătorești; </w:t>
      </w:r>
    </w:p>
    <w:p>
      <w:pPr>
        <w:keepNext w:val="0"/>
        <w:keepLines w:val="0"/>
        <w:pageBreakBefore w:val="0"/>
        <w:widowControl/>
        <w:numPr>
          <w:ilvl w:val="0"/>
          <w:numId w:val="8"/>
        </w:numPr>
        <w:tabs>
          <w:tab w:val="left" w:pos="96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lang w:val="en-US"/>
        </w:rPr>
        <w:t xml:space="preserve">nu şi-a îndeplinit obligaţiile de plată a impozitelor, taxelor şi contribuţiilor de asigurări sociale către bugetele componente ale bugetului general consolidat, în conformitate cu </w:t>
      </w:r>
      <w:r>
        <w:rPr>
          <w:rFonts w:hint="default" w:ascii="Times New Roman" w:hAnsi="Times New Roman" w:cs="Times New Roman"/>
          <w:color w:val="auto"/>
        </w:rPr>
        <w:t>prevederile legale în Republica Moldova sau în ţara în care este stabilit;</w:t>
      </w:r>
    </w:p>
    <w:p>
      <w:pPr>
        <w:keepNext w:val="0"/>
        <w:keepLines w:val="0"/>
        <w:pageBreakBefore w:val="0"/>
        <w:widowControl/>
        <w:numPr>
          <w:ilvl w:val="0"/>
          <w:numId w:val="8"/>
        </w:numPr>
        <w:tabs>
          <w:tab w:val="left" w:pos="96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 fost condamnat, în ultimii trei ani, prin hotărîrea definitivă a unei instanţe judecătoreşti, pentru o faptă care a adus atingere eticii profesionale sau pentru comiterea unei greşeli în materie profesională; </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prezintă informaţii false sau nu prezintă informaţiile solicitate de către autoritatea contractantă, în scopul demonstrării îndeplinirii criteriilor de calificare şi selecţie</w:t>
      </w:r>
      <w:r>
        <w:rPr>
          <w:rFonts w:hint="default" w:ascii="Times New Roman" w:hAnsi="Times New Roman" w:cs="Times New Roman"/>
          <w:color w:val="auto"/>
          <w:lang w:val="zh-CN"/>
        </w:rPr>
        <w:t>;</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a încălcat obligaţiile aplicabile în domeniul mediului, muncii şi asigurărilor sociale, în cazul în care autoritatea contractantă demonstrează, prin orice mijloace adecvate, acest fapt; </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se face vinovat de o abatere profesională, care îi pune la îndoială integritatea, în cazul în care autoritatea contractantă demonstrează, prin orice mijloace adecvate, acest fapt;</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a încheiat cu alţi operatori economici acorduri care vizează denaturarea concurenţei, în cazul în care acest fapt se constată printr-o decizie a organului abilitat în acest sens; </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se află într-o situaţie de conflict de interese care nu poate fi remediată în mod efectiv prin măsurile  legale;</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este inclus în Lista de interdicţie a operatorilor economici.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 xml:space="preserve">Autoritatea contractantă extrage informaţia necesară pentru constatarea existenţei sau inexistenţei circumstanţelor </w:t>
      </w:r>
      <w:r>
        <w:rPr>
          <w:rFonts w:hint="default" w:ascii="Times New Roman" w:hAnsi="Times New Roman" w:cs="Times New Roman"/>
          <w:color w:val="auto"/>
        </w:rPr>
        <w:t xml:space="preserve">menționate la punctele IPO11.2 și IPO11.3 </w:t>
      </w:r>
      <w:r>
        <w:rPr>
          <w:rFonts w:hint="default" w:ascii="Times New Roman" w:hAnsi="Times New Roman" w:cs="Times New Roman"/>
          <w:color w:val="auto"/>
          <w:lang w:val="en-GB"/>
        </w:rPr>
        <w:t>din bazele de date disponibile ale autorităţilor publice sau ale părţilor terţe. Dacă acest lucru nu este posibil, a</w:t>
      </w:r>
      <w:r>
        <w:rPr>
          <w:rFonts w:hint="default" w:ascii="Times New Roman" w:hAnsi="Times New Roman" w:cs="Times New Roman"/>
          <w:color w:val="auto"/>
        </w:rPr>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Orice operator economic aflat în oricare dintre situaţiile prevăzute la punctele IPO11.2 și IPO11.3</w:t>
      </w:r>
      <w:r>
        <w:rPr>
          <w:rFonts w:hint="default" w:ascii="Times New Roman" w:hAnsi="Times New Roman" w:cs="Times New Roman"/>
          <w:b/>
          <w:color w:val="auto"/>
        </w:rPr>
        <w:t xml:space="preserve"> </w:t>
      </w:r>
      <w:r>
        <w:rPr>
          <w:rFonts w:hint="default" w:ascii="Times New Roman" w:hAnsi="Times New Roman" w:cs="Times New Roman"/>
          <w:color w:val="auto"/>
        </w:rP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pPr>
        <w:pStyle w:val="5"/>
        <w:keepNext w:val="0"/>
        <w:keepLines w:val="0"/>
        <w:numPr>
          <w:ilvl w:val="0"/>
          <w:numId w:val="3"/>
        </w:numPr>
        <w:tabs>
          <w:tab w:val="left" w:pos="360"/>
          <w:tab w:val="left" w:pos="1134"/>
        </w:tabs>
        <w:spacing w:after="120"/>
        <w:ind w:left="0" w:firstLine="567"/>
        <w:rPr>
          <w:rFonts w:hint="default" w:ascii="Times New Roman" w:hAnsi="Times New Roman" w:cs="Times New Roman"/>
          <w:color w:val="auto"/>
        </w:rPr>
      </w:pPr>
      <w:bookmarkStart w:id="64" w:name="_Toc449539034"/>
      <w:bookmarkStart w:id="65" w:name="_Toc392180144"/>
      <w:r>
        <w:rPr>
          <w:rFonts w:hint="default" w:ascii="Times New Roman" w:hAnsi="Times New Roman" w:cs="Times New Roman"/>
          <w:color w:val="auto"/>
        </w:rPr>
        <w:t>Capacitatea de exercitare a activității profesionale</w:t>
      </w:r>
      <w:bookmarkEnd w:id="64"/>
      <w:bookmarkEnd w:id="65"/>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solicită oricărui ofertant să prezinte  dovada din care să rezulte o formă de înregistrare ca persoană juridică, capacitatea legală de a furniza bunuri, în conformitate cu prevederile legale din țara în care este stabilit</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pageBreakBefore w:val="0"/>
        <w:widowControl/>
        <w:numPr>
          <w:ilvl w:val="0"/>
          <w:numId w:val="3"/>
        </w:numPr>
        <w:tabs>
          <w:tab w:val="left" w:pos="360"/>
          <w:tab w:val="left" w:pos="1134"/>
        </w:tabs>
        <w:kinsoku/>
        <w:wordWrap/>
        <w:overflowPunct/>
        <w:topLinePunct w:val="0"/>
        <w:autoSpaceDE/>
        <w:autoSpaceDN/>
        <w:bidi w:val="0"/>
        <w:adjustRightInd/>
        <w:snapToGrid/>
        <w:spacing w:before="0" w:after="0"/>
        <w:ind w:left="0" w:firstLine="567"/>
        <w:textAlignment w:val="auto"/>
        <w:rPr>
          <w:rFonts w:hint="default" w:ascii="Times New Roman" w:hAnsi="Times New Roman" w:cs="Times New Roman"/>
          <w:color w:val="auto"/>
        </w:rPr>
      </w:pPr>
      <w:bookmarkStart w:id="66" w:name="_Toc449539035"/>
      <w:bookmarkStart w:id="67" w:name="_Toc392180145"/>
      <w:r>
        <w:rPr>
          <w:rFonts w:hint="default" w:ascii="Times New Roman" w:hAnsi="Times New Roman" w:cs="Times New Roman"/>
          <w:color w:val="auto"/>
        </w:rPr>
        <w:t>Capacitatea economică şi financiară</w:t>
      </w:r>
      <w:bookmarkEnd w:id="66"/>
      <w:bookmarkEnd w:id="67"/>
    </w:p>
    <w:p>
      <w:pPr>
        <w:rPr>
          <w:rFonts w:hint="default" w:ascii="Times New Roman" w:hAnsi="Times New Roman" w:cs="Times New Roman"/>
          <w:color w:val="auto"/>
        </w:rPr>
      </w:pP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pPr>
        <w:pStyle w:val="13"/>
        <w:keepNext w:val="0"/>
        <w:keepLines w:val="0"/>
        <w:pageBreakBefore w:val="0"/>
        <w:widowControl/>
        <w:numPr>
          <w:ilvl w:val="0"/>
          <w:numId w:val="9"/>
        </w:numPr>
        <w:tabs>
          <w:tab w:val="left" w:pos="1200"/>
        </w:tabs>
        <w:kinsoku/>
        <w:wordWrap/>
        <w:overflowPunct/>
        <w:topLinePunct w:val="0"/>
        <w:autoSpaceDE/>
        <w:bidi w:val="0"/>
        <w:adjustRightInd/>
        <w:snapToGrid/>
        <w:spacing w:after="0" w:line="240" w:lineRule="auto"/>
        <w:ind w:left="0" w:leftChars="0" w:firstLine="720" w:firstLineChars="0"/>
        <w:jc w:val="both"/>
        <w:textAlignment w:val="auto"/>
        <w:rPr>
          <w:rFonts w:hint="default" w:ascii="Times New Roman" w:hAnsi="Times New Roman" w:eastAsia="Times New Roman" w:cs="Times New Roman"/>
          <w:color w:val="auto"/>
          <w:kern w:val="0"/>
          <w:sz w:val="24"/>
          <w:szCs w:val="24"/>
          <w:lang w:val="ro-RO"/>
        </w:rPr>
      </w:pPr>
      <w:r>
        <w:rPr>
          <w:rFonts w:hint="default" w:ascii="Times New Roman" w:hAnsi="Times New Roman" w:cs="Times New Roman"/>
          <w:color w:val="auto"/>
          <w:sz w:val="24"/>
          <w:szCs w:val="24"/>
          <w:lang w:val="ro-RO"/>
        </w:rPr>
        <w:t>declarații bancare corespunzătoare sau, după caz, dovezi privind asigurarea riscului profesional</w:t>
      </w:r>
      <w:r>
        <w:rPr>
          <w:rFonts w:hint="default" w:ascii="Times New Roman" w:hAnsi="Times New Roman" w:eastAsia="Times New Roman" w:cs="Times New Roman"/>
          <w:color w:val="auto"/>
          <w:kern w:val="0"/>
          <w:sz w:val="24"/>
          <w:szCs w:val="24"/>
          <w:lang w:val="ro-RO"/>
        </w:rPr>
        <w:t xml:space="preserve">; </w:t>
      </w:r>
    </w:p>
    <w:p>
      <w:pPr>
        <w:pStyle w:val="13"/>
        <w:keepNext w:val="0"/>
        <w:keepLines w:val="0"/>
        <w:pageBreakBefore w:val="0"/>
        <w:widowControl/>
        <w:numPr>
          <w:ilvl w:val="0"/>
          <w:numId w:val="9"/>
        </w:numPr>
        <w:tabs>
          <w:tab w:val="left" w:pos="1200"/>
        </w:tabs>
        <w:kinsoku/>
        <w:wordWrap/>
        <w:overflowPunct/>
        <w:topLinePunct w:val="0"/>
        <w:autoSpaceDE/>
        <w:bidi w:val="0"/>
        <w:adjustRightInd/>
        <w:snapToGrid/>
        <w:spacing w:after="0" w:line="240" w:lineRule="auto"/>
        <w:ind w:left="0" w:leftChars="0" w:firstLine="720" w:firstLineChars="0"/>
        <w:jc w:val="both"/>
        <w:textAlignment w:val="auto"/>
        <w:rPr>
          <w:rFonts w:hint="default" w:ascii="Times New Roman" w:hAnsi="Times New Roman" w:eastAsia="Times New Roman" w:cs="Times New Roman"/>
          <w:color w:val="auto"/>
          <w:kern w:val="0"/>
          <w:sz w:val="24"/>
          <w:szCs w:val="24"/>
          <w:lang w:val="ro-RO"/>
        </w:rPr>
      </w:pPr>
      <w:r>
        <w:rPr>
          <w:rFonts w:hint="default" w:ascii="Times New Roman" w:hAnsi="Times New Roman" w:eastAsia="Times New Roman" w:cs="Times New Roman"/>
          <w:color w:val="auto"/>
          <w:kern w:val="0"/>
          <w:sz w:val="24"/>
          <w:szCs w:val="24"/>
          <w:lang w:val="ro-RO"/>
        </w:rPr>
        <w:t xml:space="preserve">rapoarte financiare sau, în cazul în care publicarea acestor rapoarte este prevăzută de legislaţia ţării în care este stabilit ofertantul, extrase de rapoarte financiare; </w:t>
      </w:r>
    </w:p>
    <w:p>
      <w:pPr>
        <w:pStyle w:val="13"/>
        <w:keepNext w:val="0"/>
        <w:keepLines w:val="0"/>
        <w:pageBreakBefore w:val="0"/>
        <w:widowControl/>
        <w:numPr>
          <w:ilvl w:val="0"/>
          <w:numId w:val="9"/>
        </w:numPr>
        <w:tabs>
          <w:tab w:val="left" w:pos="1200"/>
        </w:tabs>
        <w:kinsoku/>
        <w:wordWrap/>
        <w:overflowPunct/>
        <w:topLinePunct w:val="0"/>
        <w:autoSpaceDE/>
        <w:bidi w:val="0"/>
        <w:adjustRightInd/>
        <w:snapToGrid/>
        <w:spacing w:after="0" w:line="240" w:lineRule="auto"/>
        <w:ind w:left="0" w:leftChars="0" w:firstLine="720" w:firstLineChars="0"/>
        <w:jc w:val="both"/>
        <w:textAlignment w:val="auto"/>
        <w:rPr>
          <w:rFonts w:hint="default" w:ascii="Times New Roman" w:hAnsi="Times New Roman" w:eastAsia="Times New Roman" w:cs="Times New Roman"/>
          <w:color w:val="auto"/>
          <w:kern w:val="0"/>
          <w:sz w:val="24"/>
          <w:szCs w:val="24"/>
          <w:lang w:val="ro-RO"/>
        </w:rPr>
      </w:pPr>
      <w:r>
        <w:rPr>
          <w:rFonts w:hint="default" w:ascii="Times New Roman" w:hAnsi="Times New Roman" w:eastAsia="Times New Roman" w:cs="Times New Roman"/>
          <w:color w:val="auto"/>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Ofertantul/candidatul poate să-și demonstreze capacitatea economică și financiară și prin susținerea acordata de către o altă persoană indiferent de natura relațiilor juridice existente între ofertant/candidat şi persoana respectivă.</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Persoana care asigură susținerea financiară trebuie să îndeplinească criteriile de selecție relevante și nu trebuie să se afle în niciuna dintre situațiile prevăzute la punctul</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IPO11.2</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și</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punctul</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IPO11.3 literele (c-g), care determină excluderea din procedura de atribuire.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O asociație de operatori economici la fel are dreptul să se bazeze pe capacitățile membrilor asociației sau ale altor persoane.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eastAsia="Calibri" w:cs="Times New Roman"/>
          <w:color w:val="auto"/>
          <w:kern w:val="3"/>
        </w:rPr>
      </w:pPr>
    </w:p>
    <w:bookmarkEnd w:id="68"/>
    <w:bookmarkEnd w:id="69"/>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70" w:name="_Toc392180147"/>
      <w:bookmarkStart w:id="71" w:name="_Toc449539037"/>
      <w:r>
        <w:rPr>
          <w:rFonts w:hint="default" w:ascii="Times New Roman" w:hAnsi="Times New Roman" w:cs="Times New Roman"/>
          <w:color w:val="auto"/>
        </w:rPr>
        <w:t>Capacitate tehnică și/sau profesională</w:t>
      </w:r>
      <w:bookmarkEnd w:id="70"/>
      <w:bookmarkEnd w:id="71"/>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pPr>
        <w:keepNext w:val="0"/>
        <w:keepLines w:val="0"/>
        <w:pageBreakBefore w:val="0"/>
        <w:widowControl/>
        <w:numPr>
          <w:ilvl w:val="0"/>
          <w:numId w:val="0"/>
        </w:numPr>
        <w:tabs>
          <w:tab w:val="left" w:pos="960"/>
          <w:tab w:val="left" w:pos="1134"/>
        </w:tabs>
        <w:kinsoku/>
        <w:wordWrap/>
        <w:overflowPunct/>
        <w:topLinePunct w:val="0"/>
        <w:autoSpaceDE/>
        <w:bidi w:val="0"/>
        <w:adjustRightInd/>
        <w:snapToGrid/>
        <w:spacing w:after="0"/>
        <w:ind w:left="14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bidi w:val="0"/>
        <w:adjustRightInd/>
        <w:snapToGrid/>
        <w:spacing w:after="0"/>
        <w:ind w:left="14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bidi w:val="0"/>
        <w:adjustRightInd/>
        <w:snapToGrid/>
        <w:spacing w:after="0"/>
        <w:ind w:left="147" w:leftChars="0"/>
        <w:jc w:val="both"/>
        <w:textAlignment w:val="auto"/>
        <w:rPr>
          <w:rFonts w:hint="default" w:ascii="Times New Roman" w:hAnsi="Times New Roman" w:cs="Times New Roman"/>
          <w:color w:val="auto"/>
        </w:rPr>
      </w:pPr>
    </w:p>
    <w:p>
      <w:pPr>
        <w:pStyle w:val="13"/>
        <w:keepNext w:val="0"/>
        <w:keepLines w:val="0"/>
        <w:pageBreakBefore w:val="0"/>
        <w:widowControl/>
        <w:numPr>
          <w:ilvl w:val="0"/>
          <w:numId w:val="10"/>
        </w:numPr>
        <w:tabs>
          <w:tab w:val="left" w:pos="960"/>
        </w:tabs>
        <w:kinsoku/>
        <w:wordWrap/>
        <w:overflowPunct/>
        <w:topLinePunct w:val="0"/>
        <w:autoSpaceDE/>
        <w:bidi w:val="0"/>
        <w:adjustRightInd/>
        <w:snapToGrid/>
        <w:spacing w:after="0" w:line="240" w:lineRule="auto"/>
        <w:ind w:left="0" w:firstLine="567"/>
        <w:jc w:val="both"/>
        <w:textAlignment w:val="auto"/>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pPr>
        <w:pStyle w:val="13"/>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o declarație referitoare la echipamentele tehnice şi la măsurile aplicate în vederea asigurării calităţii, precum şi, dacă este cazul, la resursele de studiu şi cercetare; </w:t>
      </w:r>
    </w:p>
    <w:p>
      <w:pPr>
        <w:pStyle w:val="13"/>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pPr>
        <w:pStyle w:val="13"/>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certificate sau alte documente emise de organisme abilitate în acest sens, care să ateste conformitatea bunurilor, identificată clar prin referire la specificaţii sau standarde relevante; </w:t>
      </w:r>
    </w:p>
    <w:p>
      <w:pPr>
        <w:pStyle w:val="13"/>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pPr>
        <w:pStyle w:val="13"/>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capacitate minimă de producere sau echipamentele și/sau capacitate minimă profesională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eastAsia="Calibri" w:cs="Times New Roman"/>
          <w:color w:val="auto"/>
          <w:kern w:val="3"/>
          <w:lang w:val="en-US"/>
        </w:rPr>
        <w:t>Capacitatea tehnică şi profesională a ofertantului poate fi susţinută, pentru îndeplinirea unui contract, şi de o altă persoană, indiferent de natura relaţiilor juridice existente între ofertant şi persoana respectivă.</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Persoana care asigură susţinerea financiară trebuie să îndeplinească criteriile de selecție relevante și nu trebuie să se afle în niciuna dintre situaţiile prevăzute la punctul</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IPO11.2</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și</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punctul</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IPO11.3 literele (c-g), care determină excluderea din procedura de atribuire.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rPr>
        <w:t>Ofertantul/candidatul are dreptul să recurgă la susținerea unor alte persoane doar atunci cînd acestea din urmă vor desfășura activitățile sau serviciile pentru îndeplinirea cărora este necesară capacitatea profesională respectivă.</w:t>
      </w:r>
    </w:p>
    <w:p>
      <w:pPr>
        <w:tabs>
          <w:tab w:val="left" w:pos="960"/>
          <w:tab w:val="left" w:pos="1134"/>
        </w:tabs>
        <w:spacing w:after="120"/>
        <w:ind w:left="567"/>
        <w:jc w:val="both"/>
        <w:rPr>
          <w:rFonts w:hint="default" w:ascii="Times New Roman" w:hAnsi="Times New Roman" w:cs="Times New Roman"/>
          <w:color w:val="auto"/>
          <w:lang w:val="en-US"/>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72" w:name="_Toc449539039"/>
      <w:bookmarkStart w:id="73" w:name="_Toc392180149"/>
      <w:r>
        <w:rPr>
          <w:rFonts w:hint="default" w:ascii="Times New Roman" w:hAnsi="Times New Roman" w:cs="Times New Roman"/>
          <w:color w:val="auto"/>
        </w:rPr>
        <w:t>Standarde de asigurare a calităţii.</w:t>
      </w:r>
      <w:bookmarkEnd w:id="72"/>
      <w:bookmarkEnd w:id="73"/>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b/>
          <w:bCs/>
          <w:color w:val="auto"/>
        </w:rPr>
      </w:pPr>
      <w:r>
        <w:rPr>
          <w:rFonts w:hint="default" w:ascii="Times New Roman" w:hAnsi="Times New Roman" w:cs="Times New Roman"/>
          <w:color w:val="auto"/>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bCs/>
          <w:color w:val="auto"/>
        </w:rPr>
      </w:pPr>
      <w:r>
        <w:rPr>
          <w:rFonts w:hint="default" w:ascii="Times New Roman" w:hAnsi="Times New Roman" w:cs="Times New Roman"/>
          <w:bCs/>
          <w:color w:val="aut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74" w:name="_Toc449539040"/>
      <w:bookmarkStart w:id="75" w:name="_Toc392180150"/>
      <w:r>
        <w:rPr>
          <w:rFonts w:hint="default" w:ascii="Times New Roman" w:hAnsi="Times New Roman" w:cs="Times New Roman"/>
          <w:color w:val="auto"/>
        </w:rPr>
        <w:t>Standarde de protecție a mediului.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solicită prezentarea unor certificate, emise de organisme independente, prin care se atestă faptul că operatorul economic respectă anumite standarde de protecţie a mediului, aceasta trebuie să se raporteze: </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 fie la Sistemul Comunitar de Management de Mediu şi Audit (EMAS); </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b) fie la standarde de gestiune ecologică bazate pe seriile de standarde europene sau internaţionale în domeniu, certificate de organisme conforme cu legislaţia Uniunii Europene ori cu standardele europene sau internaţionale privind certificarea.</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Calificarea</w:t>
      </w:r>
      <w:r>
        <w:rPr>
          <w:rFonts w:hint="default" w:ascii="Times New Roman" w:hAnsi="Times New Roman" w:cs="Times New Roman"/>
          <w:color w:val="auto"/>
          <w:lang w:val="it-IT"/>
        </w:rPr>
        <w:t xml:space="preserve"> candidaților în cazul asocierii</w:t>
      </w:r>
      <w:bookmarkEnd w:id="74"/>
      <w:bookmarkEnd w:id="75"/>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76" w:name="_Toc449539041"/>
      <w:bookmarkStart w:id="77" w:name="_Toc392180151"/>
    </w:p>
    <w:p>
      <w:pPr>
        <w:pStyle w:val="4"/>
        <w:keepNext w:val="0"/>
        <w:keepLines w:val="0"/>
        <w:tabs>
          <w:tab w:val="left" w:pos="360"/>
          <w:tab w:val="left" w:pos="1134"/>
        </w:tabs>
        <w:spacing w:before="0"/>
        <w:jc w:val="center"/>
        <w:rPr>
          <w:rFonts w:hint="default" w:ascii="Times New Roman" w:hAnsi="Times New Roman" w:cs="Times New Roman"/>
          <w:color w:val="auto"/>
        </w:rPr>
      </w:pPr>
      <w:r>
        <w:rPr>
          <w:rFonts w:hint="default" w:ascii="Times New Roman" w:hAnsi="Times New Roman" w:cs="Times New Roman"/>
          <w:color w:val="auto"/>
        </w:rPr>
        <w:t>Secțiunea a-3-a. Pregătirea ofertelor</w:t>
      </w:r>
      <w:bookmarkEnd w:id="76"/>
      <w:bookmarkEnd w:id="77"/>
    </w:p>
    <w:p>
      <w:pPr>
        <w:rPr>
          <w:rFonts w:hint="default" w:ascii="Times New Roman" w:hAnsi="Times New Roman" w:cs="Times New Roman"/>
          <w:color w:val="auto"/>
        </w:rPr>
      </w:pPr>
    </w:p>
    <w:p>
      <w:pPr>
        <w:pStyle w:val="5"/>
        <w:keepNext w:val="0"/>
        <w:keepLines w:val="0"/>
        <w:pageBreakBefore w:val="0"/>
        <w:widowControl/>
        <w:numPr>
          <w:ilvl w:val="0"/>
          <w:numId w:val="3"/>
        </w:numPr>
        <w:tabs>
          <w:tab w:val="left" w:pos="360"/>
          <w:tab w:val="left" w:pos="1134"/>
        </w:tabs>
        <w:kinsoku/>
        <w:wordWrap/>
        <w:overflowPunct/>
        <w:topLinePunct w:val="0"/>
        <w:autoSpaceDE/>
        <w:autoSpaceDN/>
        <w:bidi w:val="0"/>
        <w:adjustRightInd/>
        <w:snapToGrid/>
        <w:spacing w:before="0" w:after="0"/>
        <w:ind w:left="0" w:firstLine="567"/>
        <w:textAlignment w:val="auto"/>
        <w:rPr>
          <w:rFonts w:hint="default" w:ascii="Times New Roman" w:hAnsi="Times New Roman" w:cs="Times New Roman"/>
          <w:color w:val="auto"/>
        </w:rPr>
      </w:pPr>
      <w:bookmarkStart w:id="78" w:name="_Toc449539042"/>
      <w:bookmarkStart w:id="79" w:name="_Toc392180152"/>
      <w:r>
        <w:rPr>
          <w:rFonts w:hint="default" w:ascii="Times New Roman" w:hAnsi="Times New Roman" w:cs="Times New Roman"/>
          <w:color w:val="auto"/>
        </w:rPr>
        <w:t>Documentele ce constituie oferta</w:t>
      </w:r>
      <w:bookmarkEnd w:id="78"/>
      <w:bookmarkEnd w:id="79"/>
    </w:p>
    <w:p>
      <w:pPr>
        <w:rPr>
          <w:rFonts w:hint="default"/>
        </w:rPr>
      </w:pP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 va cuprinde următoarele:</w:t>
      </w:r>
    </w:p>
    <w:p>
      <w:pPr>
        <w:keepNext w:val="0"/>
        <w:keepLines w:val="0"/>
        <w:pageBreakBefore w:val="0"/>
        <w:widowControl/>
        <w:numPr>
          <w:ilvl w:val="0"/>
          <w:numId w:val="11"/>
        </w:numPr>
        <w:tabs>
          <w:tab w:val="left" w:pos="1200"/>
          <w:tab w:val="left" w:pos="1320"/>
        </w:tabs>
        <w:kinsoku/>
        <w:wordWrap/>
        <w:overflowPunct/>
        <w:topLinePunct w:val="0"/>
        <w:autoSpaceDE/>
        <w:autoSpaceDN/>
        <w:bidi w:val="0"/>
        <w:adjustRightInd/>
        <w:snapToGrid/>
        <w:spacing w:after="0"/>
        <w:ind w:left="0" w:leftChars="0" w:firstLine="720" w:firstLineChars="0"/>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propunerea financiară, care va include, după caz, și garanția pentru ofertă; </w:t>
      </w:r>
    </w:p>
    <w:p>
      <w:pPr>
        <w:keepNext w:val="0"/>
        <w:keepLines w:val="0"/>
        <w:pageBreakBefore w:val="0"/>
        <w:widowControl/>
        <w:numPr>
          <w:ilvl w:val="0"/>
          <w:numId w:val="11"/>
        </w:numPr>
        <w:tabs>
          <w:tab w:val="left" w:pos="1200"/>
          <w:tab w:val="left" w:pos="1320"/>
        </w:tabs>
        <w:kinsoku/>
        <w:wordWrap/>
        <w:overflowPunct/>
        <w:topLinePunct w:val="0"/>
        <w:autoSpaceDE/>
        <w:autoSpaceDN/>
        <w:bidi w:val="0"/>
        <w:adjustRightInd/>
        <w:snapToGrid/>
        <w:spacing w:after="0"/>
        <w:ind w:left="0" w:leftChars="0" w:firstLine="720" w:firstLineChars="0"/>
        <w:jc w:val="both"/>
        <w:textAlignment w:val="auto"/>
        <w:rPr>
          <w:rFonts w:hint="default" w:ascii="Times New Roman" w:hAnsi="Times New Roman" w:cs="Times New Roman"/>
          <w:color w:val="auto"/>
        </w:rPr>
      </w:pPr>
      <w:r>
        <w:rPr>
          <w:rFonts w:hint="default" w:ascii="Times New Roman" w:hAnsi="Times New Roman" w:cs="Times New Roman"/>
          <w:color w:val="auto"/>
        </w:rPr>
        <w:t>propunerea tehnică, precum și documente suport și facultative solicitate de autoritatea contractantă;</w:t>
      </w:r>
    </w:p>
    <w:p>
      <w:pPr>
        <w:keepNext w:val="0"/>
        <w:keepLines w:val="0"/>
        <w:pageBreakBefore w:val="0"/>
        <w:widowControl/>
        <w:numPr>
          <w:ilvl w:val="0"/>
          <w:numId w:val="11"/>
        </w:numPr>
        <w:tabs>
          <w:tab w:val="left" w:pos="1200"/>
          <w:tab w:val="left" w:pos="1320"/>
        </w:tabs>
        <w:kinsoku/>
        <w:wordWrap/>
        <w:overflowPunct/>
        <w:topLinePunct w:val="0"/>
        <w:autoSpaceDE/>
        <w:autoSpaceDN/>
        <w:bidi w:val="0"/>
        <w:adjustRightInd/>
        <w:snapToGrid/>
        <w:spacing w:after="0"/>
        <w:ind w:left="0" w:leftChars="0" w:firstLine="720" w:firstLineChars="0"/>
        <w:jc w:val="both"/>
        <w:textAlignment w:val="auto"/>
        <w:rPr>
          <w:rFonts w:hint="default" w:ascii="Times New Roman" w:hAnsi="Times New Roman" w:cs="Times New Roman"/>
          <w:color w:val="auto"/>
        </w:rPr>
      </w:pPr>
      <w:r>
        <w:rPr>
          <w:rFonts w:hint="default" w:ascii="Times New Roman" w:hAnsi="Times New Roman" w:cs="Times New Roman"/>
          <w:color w:val="auto"/>
        </w:rPr>
        <w:t>Documentul unic de achiziții european;</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Operatorii economici vor pregăti ofertele într-o manieră structurată și securizată, ca răspuns la anunțul de participare publicat de către autoritatea contractantă în SIA „RSAP”, și vor depune ofertele în mod electronic, </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0" w:name="_Toc449539043"/>
      <w:bookmarkStart w:id="81" w:name="_Toc392180153"/>
      <w:r>
        <w:rPr>
          <w:rFonts w:hint="default" w:ascii="Times New Roman" w:hAnsi="Times New Roman" w:cs="Times New Roman"/>
          <w:color w:val="auto"/>
        </w:rPr>
        <w:t xml:space="preserve">Documente pentru demonstrarea conformităţii bunurilor </w:t>
      </w:r>
      <w:bookmarkEnd w:id="80"/>
      <w:bookmarkEnd w:id="81"/>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Pentru a demonstra conformitatea tehnică a bunurilor propuse, cantităţilor propuse şi a termenelor de livrare, ofertantul va completa Formularul Specificaţii tehnice</w:t>
      </w:r>
      <w:r>
        <w:rPr>
          <w:rFonts w:hint="default" w:ascii="Times New Roman" w:hAnsi="Times New Roman" w:cs="Times New Roman"/>
          <w:b/>
          <w:color w:val="auto"/>
        </w:rPr>
        <w:t xml:space="preserve">  </w:t>
      </w:r>
      <w:r>
        <w:rPr>
          <w:rFonts w:hint="default" w:ascii="Times New Roman" w:hAnsi="Times New Roman" w:cs="Times New Roman"/>
          <w:color w:val="auto"/>
        </w:rPr>
        <w:t>și Specificaţii de preț</w:t>
      </w:r>
      <w:r>
        <w:rPr>
          <w:rFonts w:hint="default" w:ascii="Times New Roman" w:hAnsi="Times New Roman" w:cs="Times New Roman"/>
          <w:b/>
          <w:color w:val="auto"/>
        </w:rPr>
        <w:t xml:space="preserve"> </w:t>
      </w:r>
      <w:r>
        <w:rPr>
          <w:rFonts w:hint="default" w:ascii="Times New Roman" w:hAnsi="Times New Roman" w:cs="Times New Roman"/>
          <w:color w:val="auto"/>
        </w:rPr>
        <w:t xml:space="preserve">. De asemenea, ofertantul va include documentație de specialitate, desene, extrase din cataloage şi alte date tehnice justificative, după caz. </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2" w:name="_Toc449539044"/>
      <w:bookmarkStart w:id="83" w:name="_Toc392180154"/>
      <w:r>
        <w:rPr>
          <w:rFonts w:hint="default" w:ascii="Times New Roman" w:hAnsi="Times New Roman" w:cs="Times New Roman"/>
          <w:color w:val="auto"/>
        </w:rPr>
        <w:t>Oferte alternative</w:t>
      </w:r>
      <w:bookmarkEnd w:id="82"/>
      <w:bookmarkEnd w:id="83"/>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Operatorul economic este în drept să depună oferte alternative numai în cazul în care autoritatea contractantă a precizat explicit în anunţul de participare </w:t>
      </w:r>
      <w:r>
        <w:rPr>
          <w:rFonts w:hint="default" w:ascii="Times New Roman" w:hAnsi="Times New Roman" w:cs="Times New Roman"/>
          <w:color w:val="auto"/>
          <w:lang w:val="zh-CN"/>
        </w:rPr>
        <w:t xml:space="preserve">și în </w:t>
      </w:r>
      <w:r>
        <w:rPr>
          <w:rFonts w:hint="default" w:ascii="Times New Roman" w:hAnsi="Times New Roman" w:cs="Times New Roman"/>
          <w:b/>
          <w:color w:val="auto"/>
          <w:lang w:val="zh-CN"/>
        </w:rPr>
        <w:t xml:space="preserve">FDA </w:t>
      </w:r>
      <w:r>
        <w:rPr>
          <w:rFonts w:hint="default" w:ascii="Times New Roman" w:hAnsi="Times New Roman" w:cs="Times New Roman"/>
          <w:color w:val="auto"/>
        </w:rPr>
        <w:t xml:space="preserve">că permite sau solicită depunerea de oferte alternative cu precizarea </w:t>
      </w:r>
      <w:r>
        <w:rPr>
          <w:rFonts w:hint="default" w:ascii="Times New Roman" w:hAnsi="Times New Roman" w:cs="Times New Roman"/>
          <w:color w:val="auto"/>
          <w:lang w:val="en-GB"/>
        </w:rPr>
        <w:t>în documentaţia de atribuire a cerinţelor minime obligatorii pe care operatorii economici trebuie să le respecte, precum şi orice alte cerinţe specifice pentru prezentarea ofertelor alternative</w:t>
      </w:r>
      <w:r>
        <w:rPr>
          <w:rFonts w:hint="default" w:ascii="Times New Roman" w:hAnsi="Times New Roman" w:cs="Times New Roman"/>
          <w:color w:val="auto"/>
        </w:rPr>
        <w:t xml:space="preserve">. În cazul în care în documentația de atribuire nu este specificat explicit că autortiatea contractantă permite sau solicită depunerea de oferte alternative, aceasta din urmă nu are dreptul de a lua în considerare ofertele alternative. </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4" w:name="_Toc449539045"/>
      <w:bookmarkStart w:id="85" w:name="_Toc392180155"/>
      <w:r>
        <w:rPr>
          <w:rFonts w:hint="default" w:ascii="Times New Roman" w:hAnsi="Times New Roman" w:cs="Times New Roman"/>
          <w:color w:val="auto"/>
        </w:rPr>
        <w:t>Garanţia pentru ofertă</w:t>
      </w:r>
      <w:bookmarkEnd w:id="84"/>
      <w:bookmarkEnd w:id="85"/>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Ofertantul va depune, ca parte a ofertei sale, o Garanţie pentru ofertă , după cum este specificat în</w:t>
      </w:r>
      <w:r>
        <w:rPr>
          <w:rFonts w:hint="default" w:ascii="Times New Roman" w:hAnsi="Times New Roman" w:cs="Times New Roman"/>
          <w:b/>
          <w:color w:val="auto"/>
        </w:rPr>
        <w:t xml:space="preserve"> FDA </w:t>
      </w:r>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Garanţia pentru ofertă va fi </w:t>
      </w:r>
      <w:r>
        <w:rPr>
          <w:rFonts w:hint="default" w:ascii="Times New Roman" w:hAnsi="Times New Roman" w:cs="Times New Roman"/>
          <w:bCs/>
          <w:color w:val="auto"/>
          <w:lang w:val="zh-CN"/>
        </w:rPr>
        <w:t>corespunzător cuantumului specificat</w:t>
      </w:r>
      <w:r>
        <w:rPr>
          <w:rFonts w:hint="default" w:ascii="Times New Roman" w:hAnsi="Times New Roman" w:cs="Times New Roman"/>
          <w:color w:val="auto"/>
        </w:rPr>
        <w:t xml:space="preserve"> în</w:t>
      </w:r>
      <w:r>
        <w:rPr>
          <w:rFonts w:hint="default" w:ascii="Times New Roman" w:hAnsi="Times New Roman" w:cs="Times New Roman"/>
          <w:b/>
          <w:color w:val="auto"/>
        </w:rPr>
        <w:t xml:space="preserve"> FDA </w:t>
      </w:r>
      <w:r>
        <w:rPr>
          <w:rFonts w:hint="default" w:ascii="Times New Roman" w:hAnsi="Times New Roman" w:cs="Times New Roman"/>
          <w:color w:val="auto"/>
        </w:rPr>
        <w:t xml:space="preserve">, în lei moldoveneşti, şi va fi: </w:t>
      </w:r>
    </w:p>
    <w:p>
      <w:pPr>
        <w:keepNext w:val="0"/>
        <w:keepLines w:val="0"/>
        <w:pageBreakBefore w:val="0"/>
        <w:widowControl/>
        <w:numPr>
          <w:ilvl w:val="0"/>
          <w:numId w:val="12"/>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formă de garanţie bancară de la o instituţie bancară licențiată, valabilă pentru perioada de valabilitate a ofertei sau altă perioadă prelungită, după caz, în conformitate cu punctul IPO23.2; sau</w:t>
      </w:r>
    </w:p>
    <w:p>
      <w:pPr>
        <w:keepNext w:val="0"/>
        <w:keepLines w:val="0"/>
        <w:pageBreakBefore w:val="0"/>
        <w:widowControl/>
        <w:numPr>
          <w:ilvl w:val="0"/>
          <w:numId w:val="12"/>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transfer pe contul autorităţii contractante; sau</w:t>
      </w:r>
    </w:p>
    <w:p>
      <w:pPr>
        <w:keepNext w:val="0"/>
        <w:keepLines w:val="0"/>
        <w:pageBreakBefore w:val="0"/>
        <w:widowControl/>
        <w:numPr>
          <w:ilvl w:val="0"/>
          <w:numId w:val="12"/>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alte forme acceptate de autoritatea contractantă, specificate în </w:t>
      </w:r>
      <w:r>
        <w:rPr>
          <w:rFonts w:hint="default" w:ascii="Times New Roman" w:hAnsi="Times New Roman" w:cs="Times New Roman"/>
          <w:b/>
          <w:color w:val="auto"/>
        </w:rPr>
        <w:t>FDA</w:t>
      </w:r>
      <w:r>
        <w:rPr>
          <w:rFonts w:hint="default" w:ascii="Times New Roman" w:hAnsi="Times New Roman" w:cs="Times New Roman"/>
          <w:color w:val="auto"/>
        </w:rPr>
        <w:t>.</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Dacă o garanţie pentru ofertă este cerută în conformitate cu  punctul IPO21.2, orice ofertă neînsoţită de o astfel de garanţie pregătită în modul corespunzător va fi respinsă de către autoritatea contractantă ca fiind necorespunzătoare.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Garanţia pentru ofertă a ofertanţilor necîştigători va fi restituită imediat de la producerea oricărui din următoarele  evenimente:</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 expirarea termenului de valabilitate a garanţiei pentru ofertă; </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b) încheierea unui contract de achiziţii şi depunerea garanţiei de bună execuţie a contractului, dacă o astfel de garanţie este prevăzută în documentaţia de atribuire;</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c) suspendarea procedurii de licitaţie fără încheierea unui contract de achiziţii ;</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d) retragerea ofertei înainte de expirarea termenului de depunere a ofertelor, în cazul în care documentaţia de atribuire nu prevede inadmisibilitatea unei astfel de retrageri.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Garanţia pentru ofertă va fi reţinută dacă:</w:t>
      </w:r>
    </w:p>
    <w:p>
      <w:pPr>
        <w:keepNext w:val="0"/>
        <w:keepLines w:val="0"/>
        <w:pageBreakBefore w:val="0"/>
        <w:widowControl/>
        <w:numPr>
          <w:ilvl w:val="0"/>
          <w:numId w:val="13"/>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ofertantul îşi retrage sau îşi modifică oferta în timpul perioadei de valabilitate a ofertei specificate de către ofertant în Formularul ofertei, cu excepţia cazurilor prevăzute în punctul IPO23.2; sau </w:t>
      </w:r>
    </w:p>
    <w:p>
      <w:pPr>
        <w:keepNext w:val="0"/>
        <w:keepLines w:val="0"/>
        <w:pageBreakBefore w:val="0"/>
        <w:widowControl/>
        <w:numPr>
          <w:ilvl w:val="0"/>
          <w:numId w:val="13"/>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ofertantul cîştigător refuză: </w:t>
      </w:r>
    </w:p>
    <w:p>
      <w:pPr>
        <w:keepNext w:val="0"/>
        <w:keepLines w:val="0"/>
        <w:pageBreakBefore w:val="0"/>
        <w:widowControl/>
        <w:numPr>
          <w:ilvl w:val="0"/>
          <w:numId w:val="14"/>
        </w:numPr>
        <w:tabs>
          <w:tab w:val="left" w:pos="960"/>
          <w:tab w:val="left" w:pos="168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să depună Garanţia de bună execuţie conform punctului IPO42;</w:t>
      </w:r>
    </w:p>
    <w:p>
      <w:pPr>
        <w:keepNext w:val="0"/>
        <w:keepLines w:val="0"/>
        <w:pageBreakBefore w:val="0"/>
        <w:widowControl/>
        <w:numPr>
          <w:ilvl w:val="0"/>
          <w:numId w:val="14"/>
        </w:numPr>
        <w:tabs>
          <w:tab w:val="left" w:pos="960"/>
          <w:tab w:val="left" w:pos="168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să semneze contractul conform punctului IPO43.</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Garanţia pentru ofertă prezentată de Asociație trebuie să fie în numele Asociației care depune oferta.</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6" w:name="_Toc392180156"/>
      <w:bookmarkStart w:id="87" w:name="_Toc449539046"/>
      <w:r>
        <w:rPr>
          <w:rFonts w:hint="default" w:ascii="Times New Roman" w:hAnsi="Times New Roman" w:cs="Times New Roman"/>
          <w:color w:val="auto"/>
        </w:rPr>
        <w:t>Preţuri</w:t>
      </w:r>
      <w:bookmarkEnd w:id="86"/>
      <w:bookmarkEnd w:id="87"/>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Preţurile indicate de către ofertant în Formularul ofertei şi în Specificaţiile de preț  se vor conforma cerinţelor specificate în punctul IPO22.</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Toate loturile şi poziţiile trebuie enumerate şi evaluate separat în Specificaţiile tehnice</w:t>
      </w:r>
      <w:r>
        <w:rPr>
          <w:rFonts w:hint="default" w:ascii="Times New Roman" w:hAnsi="Times New Roman" w:cs="Times New Roman"/>
          <w:b/>
          <w:color w:val="auto"/>
        </w:rPr>
        <w:t xml:space="preserve">  și </w:t>
      </w:r>
      <w:r>
        <w:rPr>
          <w:rFonts w:hint="default" w:ascii="Times New Roman" w:hAnsi="Times New Roman" w:cs="Times New Roman"/>
          <w:color w:val="auto"/>
        </w:rPr>
        <w:t>Specificațiile de preț</w:t>
      </w:r>
      <w:r>
        <w:rPr>
          <w:rFonts w:hint="default" w:ascii="Times New Roman" w:hAnsi="Times New Roman" w:cs="Times New Roman"/>
          <w:b/>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Preţul ce urmează a fi specificat în Formularul ofertei va constitui suma totală a ofertei, inclusiv TVA.</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Termenii Incoterms, cum ar fi EXW, CIP, DDP şi alţi termeni similari, vor fi supuşi regulilor prevăzute în ediţia curentă a Incoterms, publicată de către Camera Internaţională de Comerţ, după cum este menţionat în</w:t>
      </w:r>
      <w:r>
        <w:rPr>
          <w:rFonts w:hint="default" w:ascii="Times New Roman" w:hAnsi="Times New Roman" w:cs="Times New Roman"/>
          <w:b/>
          <w:color w:val="auto"/>
        </w:rPr>
        <w:t xml:space="preserve"> FDA </w:t>
      </w:r>
      <w:r>
        <w:rPr>
          <w:rFonts w:hint="default" w:ascii="Times New Roman" w:hAnsi="Times New Roman" w:cs="Times New Roman"/>
          <w:color w:val="auto"/>
        </w:rPr>
        <w:t>.</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Preţurile vor fi indicate după cum este arătat în Specificaţiile de preț</w:t>
      </w:r>
      <w:r>
        <w:rPr>
          <w:rFonts w:hint="default" w:ascii="Times New Roman" w:hAnsi="Times New Roman" w:cs="Times New Roman"/>
          <w:b/>
          <w:color w:val="auto"/>
        </w:rPr>
        <w:t xml:space="preserve"> </w:t>
      </w:r>
      <w:r>
        <w:rPr>
          <w:rFonts w:hint="default" w:ascii="Times New Roman" w:hAnsi="Times New Roman" w:cs="Times New Roman"/>
          <w:color w:val="auto"/>
        </w:rPr>
        <w:t>.</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va efectua achitări conform metodologiei și condițiilor indicate în </w:t>
      </w:r>
      <w:r>
        <w:rPr>
          <w:rFonts w:hint="default" w:ascii="Times New Roman" w:hAnsi="Times New Roman" w:cs="Times New Roman"/>
          <w:b/>
          <w:color w:val="auto"/>
        </w:rPr>
        <w:t>FDA</w:t>
      </w:r>
      <w:r>
        <w:rPr>
          <w:rFonts w:hint="default" w:ascii="Times New Roman" w:hAnsi="Times New Roman" w:cs="Times New Roman"/>
          <w:color w:val="auto"/>
        </w:rPr>
        <w:t>.</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8" w:name="_Toc449539047"/>
      <w:bookmarkStart w:id="89" w:name="_Toc392180157"/>
      <w:r>
        <w:rPr>
          <w:rFonts w:hint="default" w:ascii="Times New Roman" w:hAnsi="Times New Roman" w:cs="Times New Roman"/>
          <w:color w:val="auto"/>
        </w:rPr>
        <w:t>Termenul de valabilitate a ofertelor</w:t>
      </w:r>
      <w:bookmarkEnd w:id="88"/>
      <w:bookmarkEnd w:id="89"/>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Ofertele vor rămîne valabile pe parcursul perioadei specificate în </w:t>
      </w:r>
      <w:r>
        <w:rPr>
          <w:rFonts w:hint="default" w:ascii="Times New Roman" w:hAnsi="Times New Roman" w:cs="Times New Roman"/>
          <w:b/>
          <w:color w:val="auto"/>
        </w:rPr>
        <w:t xml:space="preserve">FDA </w:t>
      </w:r>
      <w:r>
        <w:rPr>
          <w:rFonts w:hint="default" w:ascii="Times New Roman" w:hAnsi="Times New Roman" w:cs="Times New Roman"/>
          <w:color w:val="auto"/>
        </w:rPr>
        <w:t>de la data-limită de depunere a ofertei stabilită de autoritatea contractantă. O ofertă valabilă pentru un termen mai scurt va fi respinsă de către autoritatea contractantă ca fiind necorespunzătoare.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GB"/>
        </w:rPr>
      </w:pPr>
      <w:r>
        <w:rPr>
          <w:rFonts w:hint="default" w:ascii="Times New Roman" w:hAnsi="Times New Roman" w:cs="Times New Roman"/>
          <w:color w:val="auto"/>
        </w:rPr>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lang w:val="en-GB"/>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90" w:name="_Toc449539048"/>
      <w:bookmarkStart w:id="91" w:name="_Toc392180158"/>
      <w:r>
        <w:rPr>
          <w:rFonts w:hint="default" w:ascii="Times New Roman" w:hAnsi="Times New Roman" w:cs="Times New Roman"/>
          <w:color w:val="auto"/>
        </w:rPr>
        <w:t>Valuta ofertei</w:t>
      </w:r>
      <w:bookmarkEnd w:id="90"/>
      <w:bookmarkEnd w:id="91"/>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Preţurile pentru bunurile solicitate vor fi indicate în lei moldoveneşti, cu excepţia cazurilor în care </w:t>
      </w:r>
      <w:r>
        <w:rPr>
          <w:rFonts w:hint="default" w:ascii="Times New Roman" w:hAnsi="Times New Roman" w:cs="Times New Roman"/>
          <w:b/>
          <w:color w:val="auto"/>
        </w:rPr>
        <w:t xml:space="preserve">FDA . </w:t>
      </w:r>
      <w:r>
        <w:rPr>
          <w:rFonts w:hint="default" w:ascii="Times New Roman" w:hAnsi="Times New Roman" w:cs="Times New Roman"/>
          <w:color w:val="auto"/>
        </w:rPr>
        <w:t>prevede altfel.</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92" w:name="_Toc449539049"/>
      <w:bookmarkStart w:id="93" w:name="_Toc392180159"/>
      <w:r>
        <w:rPr>
          <w:rFonts w:hint="default" w:ascii="Times New Roman" w:hAnsi="Times New Roman" w:cs="Times New Roman"/>
          <w:color w:val="auto"/>
        </w:rPr>
        <w:t>Formatul ofertei</w:t>
      </w:r>
      <w:bookmarkEnd w:id="92"/>
      <w:bookmarkEnd w:id="93"/>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Oferta va fi pregătită în format electronic, în conformitate cu cerințele autorității contractante, cu ajutorul instrumentelor existente în SIA „RSAP”</w:t>
      </w: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94" w:name="_Toc392180160"/>
      <w:bookmarkStart w:id="95" w:name="_Toc449539050"/>
    </w:p>
    <w:p>
      <w:pPr>
        <w:pStyle w:val="4"/>
        <w:keepNext w:val="0"/>
        <w:keepLines w:val="0"/>
        <w:tabs>
          <w:tab w:val="left" w:pos="360"/>
          <w:tab w:val="left" w:pos="1134"/>
        </w:tabs>
        <w:spacing w:before="0"/>
        <w:jc w:val="center"/>
        <w:rPr>
          <w:rFonts w:hint="default" w:ascii="Times New Roman" w:hAnsi="Times New Roman" w:cs="Times New Roman"/>
          <w:color w:val="auto"/>
        </w:rPr>
      </w:pPr>
      <w:r>
        <w:rPr>
          <w:rFonts w:hint="default" w:ascii="Times New Roman" w:hAnsi="Times New Roman" w:cs="Times New Roman"/>
          <w:color w:val="auto"/>
        </w:rPr>
        <w:t>Secțiunea a-4-a. Depunerea și deschiderea ofertelor</w:t>
      </w:r>
      <w:bookmarkEnd w:id="94"/>
      <w:bookmarkEnd w:id="95"/>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96" w:name="_Toc449539051"/>
      <w:bookmarkStart w:id="97" w:name="_Toc392180161"/>
      <w:r>
        <w:rPr>
          <w:rFonts w:hint="default" w:ascii="Times New Roman" w:hAnsi="Times New Roman" w:cs="Times New Roman"/>
          <w:color w:val="auto"/>
        </w:rPr>
        <w:t>Depunerea ofertelor</w:t>
      </w:r>
      <w:bookmarkEnd w:id="96"/>
      <w:bookmarkEnd w:id="97"/>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 scrisă şi semnată, după caz electronic, se prezintă în conformitate cu cerinţele expuse în documentaţia de atribuire, utilizind SIA “RSAP”Autoritatea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Pr>
          <w:rFonts w:hint="default" w:ascii="Times New Roman" w:hAnsi="Times New Roman" w:cs="Times New Roman"/>
          <w:b/>
          <w:color w:val="auto"/>
        </w:rPr>
        <w:t>DUAE</w:t>
      </w:r>
      <w:r>
        <w:rPr>
          <w:rFonts w:hint="default" w:ascii="Times New Roman" w:hAnsi="Times New Roman" w:cs="Times New Roman"/>
          <w:color w:val="auto"/>
        </w:rPr>
        <w:t xml:space="preserve"> și a garanției pentru ofertă.</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La depunerea ofertei prin SIA „RSAP”, operatorul economic va ține cont de timpul necesar pentru încărcarea ofertei în sistem, prevăzînd timp suficient pentru a depune oferta în termenii stabiliți.</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98" w:name="_Toc449539052"/>
      <w:bookmarkStart w:id="99" w:name="_Toc392180162"/>
      <w:r>
        <w:rPr>
          <w:rFonts w:hint="default" w:ascii="Times New Roman" w:hAnsi="Times New Roman" w:cs="Times New Roman"/>
          <w:color w:val="auto"/>
        </w:rPr>
        <w:t>Termenul limită de depunere a ofertelor</w:t>
      </w:r>
      <w:bookmarkEnd w:id="98"/>
      <w:bookmarkEnd w:id="99"/>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Ofertele vor fi depuse nu mai tîrziu de data şi ora specificate în</w:t>
      </w:r>
      <w:r>
        <w:rPr>
          <w:rFonts w:hint="default" w:ascii="Times New Roman" w:hAnsi="Times New Roman" w:cs="Times New Roman"/>
          <w:b/>
          <w:color w:val="auto"/>
        </w:rPr>
        <w:t xml:space="preserve"> FDA </w:t>
      </w:r>
      <w:r>
        <w:rPr>
          <w:rFonts w:hint="default" w:ascii="Times New Roman" w:hAnsi="Times New Roman" w:cs="Times New Roman"/>
          <w:color w:val="auto"/>
        </w:rPr>
        <w:t>. Autoritatea contractantă poate, la discreţia sa, să extindă termenul-limită de depunere a ofertelor prin modificarea documentelor de atribuire în conformitate cu punctul IPO7.</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00" w:name="_Toc449539053"/>
      <w:bookmarkStart w:id="101" w:name="_Toc392180163"/>
      <w:r>
        <w:rPr>
          <w:rFonts w:hint="default" w:ascii="Times New Roman" w:hAnsi="Times New Roman" w:cs="Times New Roman"/>
          <w:color w:val="auto"/>
        </w:rPr>
        <w:t>Oferte întîrziate</w:t>
      </w:r>
      <w:bookmarkEnd w:id="100"/>
      <w:bookmarkEnd w:id="101"/>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SIA „RSAP” nu va accepta ofertele transmise după expirarea termenului limită de depunere a ofertelor.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Ofertele depuse după termenul limită de deschidere a ofertelor specificate în FDA  vor fi înregistrate de către autoritatea contractantă și restituite ofertantului, fără a fi deschise.</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02" w:name="_Toc392180164"/>
      <w:bookmarkStart w:id="103" w:name="_Toc449539054"/>
      <w:r>
        <w:rPr>
          <w:rFonts w:hint="default" w:ascii="Times New Roman" w:hAnsi="Times New Roman" w:cs="Times New Roman"/>
          <w:color w:val="auto"/>
        </w:rPr>
        <w:t>Modificarea, substituirea şi retragerea ofertelor</w:t>
      </w:r>
      <w:bookmarkEnd w:id="102"/>
      <w:bookmarkEnd w:id="103"/>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pPr>
        <w:ind w:left="568"/>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Deschiderea ofertelor</w:t>
      </w:r>
      <w:bookmarkEnd w:id="104"/>
      <w:bookmarkEnd w:id="105"/>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va deschide ofertele în cadrul sistemului SIA „RSAP” la data şi ora specificate .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Informația privind ofertanții și ofertele, se fac publice prin publicarea acestora în SIA „RSAP”.</w:t>
      </w:r>
    </w:p>
    <w:p>
      <w:pPr>
        <w:tabs>
          <w:tab w:val="left" w:pos="960"/>
          <w:tab w:val="left" w:pos="1134"/>
        </w:tabs>
        <w:spacing w:after="120"/>
        <w:jc w:val="both"/>
        <w:rPr>
          <w:rFonts w:hint="default" w:ascii="Times New Roman" w:hAnsi="Times New Roman" w:cs="Times New Roman"/>
          <w:color w:val="auto"/>
        </w:rPr>
      </w:pP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106" w:name="_Toc449539056"/>
      <w:bookmarkStart w:id="107" w:name="_Toc392180166"/>
      <w:r>
        <w:rPr>
          <w:rFonts w:hint="default" w:ascii="Times New Roman" w:hAnsi="Times New Roman" w:cs="Times New Roman"/>
          <w:color w:val="auto"/>
        </w:rPr>
        <w:t>Secțiunea a-5-a. Evaluarea și compararea ofertelor</w:t>
      </w:r>
      <w:bookmarkEnd w:id="106"/>
      <w:bookmarkEnd w:id="107"/>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08" w:name="_Toc392180167"/>
      <w:bookmarkStart w:id="109" w:name="_Toc449539057"/>
      <w:r>
        <w:rPr>
          <w:rFonts w:hint="default" w:ascii="Times New Roman" w:hAnsi="Times New Roman" w:cs="Times New Roman"/>
          <w:color w:val="auto"/>
        </w:rPr>
        <w:t>Confidenţialitate</w:t>
      </w:r>
      <w:bookmarkEnd w:id="108"/>
      <w:bookmarkEnd w:id="109"/>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SIA „RSAP” va asigura mecanisme adecvate în vederea neadmiterii divulgării conținutului ofertelor prezentate de participanți pînă la data stabilită pentru deschiderea acestora de către persoanele autorizate ale organizatorului procedurii de achiziție , în conformitate cu legislația. Astfel, va fi preîntîmpinată aplicarea unor eventuale practici anticoncurențiale în cadrul procedurilor de achiziții </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0" w:name="_Toc392180168"/>
      <w:bookmarkStart w:id="111" w:name="_Toc449539058"/>
      <w:r>
        <w:rPr>
          <w:rFonts w:hint="default" w:ascii="Times New Roman" w:hAnsi="Times New Roman" w:cs="Times New Roman"/>
          <w:color w:val="auto"/>
        </w:rPr>
        <w:t>Clarificarea ofertelor</w:t>
      </w:r>
      <w:bookmarkEnd w:id="110"/>
      <w:bookmarkEnd w:id="111"/>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Operatorul economic este obligat să răspundă la solicitarea de clarificare a autorității contractante în cel mult trei zile de la data expedierii acesteia.</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2" w:name="_Toc392180169"/>
      <w:bookmarkStart w:id="113" w:name="_Toc449539059"/>
      <w:r>
        <w:rPr>
          <w:rFonts w:hint="default" w:ascii="Times New Roman" w:hAnsi="Times New Roman" w:cs="Times New Roman"/>
          <w:color w:val="auto"/>
        </w:rPr>
        <w:t>Determinarea conformităţii ofertelor</w:t>
      </w:r>
      <w:bookmarkEnd w:id="112"/>
      <w:bookmarkEnd w:id="113"/>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Aprecierea corespunderii unei oferte de către autoritatea contractantă urmează a fi bazată pe conţinutul ofertei.</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pPr>
        <w:keepNext w:val="0"/>
        <w:keepLines w:val="0"/>
        <w:pageBreakBefore w:val="0"/>
        <w:widowControl/>
        <w:numPr>
          <w:ilvl w:val="0"/>
          <w:numId w:val="15"/>
        </w:numPr>
        <w:tabs>
          <w:tab w:val="left" w:pos="1134"/>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nu afectează în orice mod substanţial sfera de acţiune, calitatea sau performanţa bunurilor specificate în contract;  </w:t>
      </w:r>
    </w:p>
    <w:p>
      <w:pPr>
        <w:keepNext w:val="0"/>
        <w:keepLines w:val="0"/>
        <w:pageBreakBefore w:val="0"/>
        <w:widowControl/>
        <w:numPr>
          <w:ilvl w:val="0"/>
          <w:numId w:val="15"/>
        </w:numPr>
        <w:tabs>
          <w:tab w:val="left" w:pos="1134"/>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nu limitează în orice mod substanţial drepturile autorităţii contractante sau obligaţiile ofertantului conform contractului;  </w:t>
      </w:r>
    </w:p>
    <w:p>
      <w:pPr>
        <w:keepNext w:val="0"/>
        <w:keepLines w:val="0"/>
        <w:pageBreakBefore w:val="0"/>
        <w:widowControl/>
        <w:numPr>
          <w:ilvl w:val="0"/>
          <w:numId w:val="15"/>
        </w:numPr>
        <w:tabs>
          <w:tab w:val="left" w:pos="1134"/>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nu ar afecta într-un mod inechitabil poziţia competitivă a altor ofertanţi ce prezintă oferte conforme cerinţelor.</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Dacă o ofertă nu este conformă cerinţelor din documentele de atribuire, ea va fi respinsă de către autoritatea contractantă.</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4" w:name="_Toc449539060"/>
      <w:bookmarkStart w:id="115" w:name="_Toc392180170"/>
      <w:r>
        <w:rPr>
          <w:rFonts w:hint="default" w:ascii="Times New Roman" w:hAnsi="Times New Roman" w:cs="Times New Roman"/>
          <w:color w:val="auto"/>
        </w:rPr>
        <w:t>Neconformităţi, erori şi omiteri</w:t>
      </w:r>
      <w:bookmarkEnd w:id="114"/>
      <w:bookmarkEnd w:id="115"/>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Dacă ofertantul care a depus oferta cea mai avantajoasă nu acceptă corectarea erorilor aritmetice, oferta acestuia se respinge.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6" w:name="_Toc392180171"/>
      <w:bookmarkStart w:id="117" w:name="_Toc449539061"/>
      <w:r>
        <w:rPr>
          <w:rFonts w:hint="default" w:ascii="Times New Roman" w:hAnsi="Times New Roman" w:cs="Times New Roman"/>
          <w:color w:val="auto"/>
        </w:rPr>
        <w:t>Evaluarea ofertelor</w:t>
      </w:r>
      <w:bookmarkEnd w:id="116"/>
      <w:bookmarkEnd w:id="117"/>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Examinarea, evaluarea şi compararea ofertelor se efectuează fără participarea ofertanţilor şi a altor persoane neautorizate. Autoritatea contractantă va examina ofertele pentru a confirma faptul că toate documentele prevăzute în punctul IPO18</w:t>
      </w:r>
      <w:r>
        <w:rPr>
          <w:rFonts w:hint="default" w:ascii="Times New Roman" w:hAnsi="Times New Roman" w:cs="Times New Roman"/>
          <w:b/>
          <w:color w:val="auto"/>
        </w:rPr>
        <w:t xml:space="preserve"> </w:t>
      </w:r>
      <w:r>
        <w:rPr>
          <w:rFonts w:hint="default" w:ascii="Times New Roman" w:hAnsi="Times New Roman" w:cs="Times New Roman"/>
          <w:color w:val="auto"/>
        </w:rPr>
        <w:t>au fost prezentate şi pentru a determina caracterul complet al fiecărui document depus.</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US"/>
        </w:rPr>
        <w:t>Autoritatea contractantă stabileşte oferta/ofertele cîştigătoare aplicînd criteriul de atribuire şi factorii de evaluare prevăzuţi în documentaţia de atribuire</w:t>
      </w:r>
      <w:r>
        <w:rPr>
          <w:rFonts w:hint="default" w:ascii="Times New Roman" w:hAnsi="Times New Roman" w:cs="Times New Roman"/>
          <w:color w:val="auto"/>
          <w:lang w:val="zh-CN"/>
        </w:rPr>
        <w:t>, utilizînd instrumentele de evaluare din cadrul SIA „RSAP”</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8" w:name="_Toc392180172"/>
      <w:bookmarkStart w:id="119" w:name="_Toc449539062"/>
      <w:r>
        <w:rPr>
          <w:rFonts w:hint="default" w:ascii="Times New Roman" w:hAnsi="Times New Roman" w:cs="Times New Roman"/>
          <w:color w:val="auto"/>
        </w:rPr>
        <w:t>Calificarea ofertantului</w:t>
      </w:r>
      <w:bookmarkEnd w:id="118"/>
      <w:bookmarkEnd w:id="119"/>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va determina dacă ofertantul este calificat să execute Contractul.</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20" w:name="_Toc449539063"/>
      <w:bookmarkStart w:id="121" w:name="_Toc392180173"/>
      <w:r>
        <w:rPr>
          <w:rFonts w:hint="default" w:ascii="Times New Roman" w:hAnsi="Times New Roman" w:cs="Times New Roman"/>
          <w:color w:val="auto"/>
        </w:rPr>
        <w:t>Descalificarea ofertantului</w:t>
      </w:r>
      <w:bookmarkEnd w:id="120"/>
      <w:bookmarkEnd w:id="121"/>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 prin includerea lui în Lista de interdicţie a operatorilor economici.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Lista de interdicţie a operatorilor economici reprezintă un înscris oficial şi este întocmită actualizată şi ţinută de către Agenţia Achiziţii Publice , cu scopul de a limita participarea operatorilor economici la procedurile de achiziţie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şi componenţa fondatorilor şi a persoanelor afiliate.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descalifică ofertantul dacă constată că acesta este inclus în Lista de interdicţie a operatorilor economici.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nu acceptă oferta în cazul în care ofertantul nu corespunde cerințelor de calificare.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Anularea procedurii</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lang w:val="zh-CN"/>
        </w:rPr>
        <w:t>Autoritatea contractantă, din propria inițiativă, anulează procedura de achiziție  în cazurile</w:t>
      </w:r>
      <w:r>
        <w:rPr>
          <w:rFonts w:hint="default" w:ascii="Times New Roman" w:hAnsi="Times New Roman" w:cs="Times New Roman"/>
          <w:color w:val="auto"/>
        </w:rPr>
        <w:t xml:space="preserve">: </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xml:space="preserve"> a) nu a fost depusă nicio ofertă;</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b) numărul de ofertanţi/candidaţi care întrunesc cerințele de calificare și selecție este mai mic decît numărul minim prevăzut pentru fiecare procedură, iar autoritatea nu a optat, conform prevederilor specifice, pentru continuarea procedurii de atribuire;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c) niciunul dintre ofertanţi nu a întrunit condiţiile de calificare prevăzute în documentaţia de atribuire;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d) au fost depuse numai oferte care: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sînt neadecvate, inacceptabile sau neconforme;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sînt prezentate după data-limită de depunere a ofertelor;</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nu au fost elaborate şi prezentate în conformitate cu cerinţele cuprinse în documentaţia de atribuire;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conţin, în propunerea financiară, preţuri care nu sînt un rezultat al liberei concurenţe şi care nu sînt justificate temeinic;</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conţin propuneri referitoare la clauzele contractuale, propuneri care sînt, în mod evident, dezavantajoase pentru autoritatea contractantă;</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depăşesc cu 30% valoarea estimată a achiziţiei, calculată conform prezentei legi;</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au o valoare ce depăşeşte pragul prevăzut pentru procedura de achiziţie desfăşurată;</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prin valoarea inclusă în propunerea financiară, depăşesc valoarea fondurilor alocate pentru îndeplinirea contractului de achiziţii;</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e) s-a constatat comiterea unui act de corupţie, unor acte conexe actelor de corupţie sau fapte coruptibile confirmate prin hotărîre definitivă a instanţei de judecată;</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f) ofertele depuse, deşi pot fi luate în considerare, nu pot fi comparate din cauza modului neuniform de abordare a soluţiilor tehnice şi/sau financiare;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g) există abateri grave de la prevederile legale care afectează rezultatul procedurii de atribuire sau face imposibilă încheierea contractului. Prin abateri grave de la prevederile legale se înțelege faptul că pe parcursul analizei, evaluării şi/sau finalizării procedurii de atribuire se constată erori sau omisiuni, autoritatea contractantă aflîndu-se în imposibilitatea de a adopta măsuri corective fără ca acestea să conducă la încălcarea principiilor de guvernare a achizițiilor.</w:t>
      </w:r>
    </w:p>
    <w:p>
      <w:pPr>
        <w:numPr>
          <w:ilvl w:val="0"/>
          <w:numId w:val="0"/>
        </w:numPr>
        <w:tabs>
          <w:tab w:val="left" w:pos="960"/>
          <w:tab w:val="left" w:pos="1134"/>
        </w:tabs>
        <w:spacing w:after="120"/>
        <w:ind w:firstLine="600" w:firstLineChars="250"/>
        <w:jc w:val="both"/>
        <w:rPr>
          <w:rFonts w:hint="default" w:ascii="Times New Roman" w:hAnsi="Times New Roman" w:cs="Times New Roman"/>
          <w:color w:val="auto"/>
        </w:rPr>
      </w:pPr>
      <w:r>
        <w:rPr>
          <w:rFonts w:hint="default" w:ascii="Times New Roman" w:hAnsi="Times New Roman" w:cs="Times New Roman"/>
          <w:color w:val="auto"/>
          <w:lang w:val="zh-CN"/>
        </w:rPr>
        <w:t>Autoritatea contractantă are obligaţia de a comunica prin SIA „RSAP” sau prin alte mijloace de comunicare tuturor participanţilor la procedura de achiziţie , în cel mult 3 zile de la data anulării, atît încetarea obligaţiilor pe care aceştia şi le-au creat prin depunerea de oferte, cît şi motivul anulării</w:t>
      </w:r>
      <w:r>
        <w:rPr>
          <w:rFonts w:hint="default" w:ascii="Times New Roman" w:hAnsi="Times New Roman" w:cs="Times New Roman"/>
          <w:color w:val="auto"/>
        </w:rPr>
        <w:t>.</w:t>
      </w: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122" w:name="_Toc449539069"/>
      <w:bookmarkStart w:id="123" w:name="_Toc392180179"/>
    </w:p>
    <w:p>
      <w:pPr>
        <w:pStyle w:val="4"/>
        <w:keepNext w:val="0"/>
        <w:keepLines w:val="0"/>
        <w:tabs>
          <w:tab w:val="left" w:pos="360"/>
          <w:tab w:val="left" w:pos="1134"/>
        </w:tabs>
        <w:spacing w:before="0"/>
        <w:jc w:val="center"/>
        <w:rPr>
          <w:rFonts w:hint="default" w:ascii="Times New Roman" w:hAnsi="Times New Roman" w:cs="Times New Roman"/>
          <w:color w:val="auto"/>
        </w:rPr>
      </w:pPr>
      <w:r>
        <w:rPr>
          <w:rFonts w:hint="default" w:ascii="Times New Roman" w:hAnsi="Times New Roman" w:cs="Times New Roman"/>
          <w:color w:val="auto"/>
        </w:rPr>
        <w:t>Secțiunea a-</w:t>
      </w:r>
      <w:r>
        <w:rPr>
          <w:rFonts w:hint="default" w:ascii="Times New Roman" w:hAnsi="Times New Roman" w:cs="Times New Roman"/>
          <w:color w:val="auto"/>
          <w:lang w:val="ro-RO"/>
        </w:rPr>
        <w:t>6</w:t>
      </w:r>
      <w:r>
        <w:rPr>
          <w:rFonts w:hint="default" w:ascii="Times New Roman" w:hAnsi="Times New Roman" w:cs="Times New Roman"/>
          <w:color w:val="auto"/>
        </w:rPr>
        <w:t>-a. Adjudecarea contractului</w:t>
      </w:r>
      <w:bookmarkEnd w:id="122"/>
      <w:bookmarkEnd w:id="123"/>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24" w:name="_Toc449539070"/>
      <w:bookmarkStart w:id="125" w:name="_Toc392180180"/>
      <w:r>
        <w:rPr>
          <w:rFonts w:hint="default" w:ascii="Times New Roman" w:hAnsi="Times New Roman" w:cs="Times New Roman"/>
          <w:color w:val="auto"/>
        </w:rPr>
        <w:t>Criteriul de adjudecare</w:t>
      </w:r>
      <w:bookmarkEnd w:id="124"/>
      <w:bookmarkEnd w:id="125"/>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Autoritatea contractantă va adjudeca contractul, conform criteriului stabilit în FDA  acelui ofertant a cărui ofertă a fost apreciată potrivit criteriilor stabilite precum şi altor condiţii şi cerinţelor din documentele de atribuire, cu condiţia ca şi ofertantul să fie calificat pentru executarea contractului. </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26" w:name="_Toc449539071"/>
      <w:bookmarkStart w:id="127" w:name="_Toc392180181"/>
      <w:r>
        <w:rPr>
          <w:rFonts w:hint="default" w:ascii="Times New Roman" w:hAnsi="Times New Roman" w:cs="Times New Roman"/>
          <w:color w:val="auto"/>
        </w:rPr>
        <w:t>Dreptul autorităţii contractante de a modifica cantităţile în timpul adjudecării</w:t>
      </w:r>
      <w:bookmarkEnd w:id="126"/>
      <w:bookmarkEnd w:id="127"/>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La momentul adjudecării contractului, autoritatea contractantă are posibilitatea  de a micşora</w:t>
      </w:r>
      <w:r>
        <w:rPr>
          <w:rFonts w:hint="default" w:ascii="Times New Roman" w:hAnsi="Times New Roman" w:cs="Times New Roman"/>
          <w:color w:val="auto"/>
          <w:lang w:val="zh-CN" w:eastAsia="ja-JP"/>
        </w:rPr>
        <w:t xml:space="preserve"> </w:t>
      </w:r>
      <w:r>
        <w:rPr>
          <w:rFonts w:hint="default" w:ascii="Times New Roman" w:hAnsi="Times New Roman" w:cs="Times New Roman"/>
          <w:color w:val="auto"/>
          <w:lang w:val="zh-CN"/>
        </w:rPr>
        <w:t>cu acordul operatorului economic</w:t>
      </w:r>
      <w:r>
        <w:rPr>
          <w:rFonts w:hint="default" w:ascii="Times New Roman" w:hAnsi="Times New Roman" w:cs="Times New Roman"/>
          <w:color w:val="auto"/>
        </w:rPr>
        <w:t xml:space="preserve"> cantitatea de bunuri, în cazul în care suma contractelor este mai mare decît valoare estimată a achiziției, specificate iniţial, pentru a se putea încadra în mijloacele financiare alocate, însă fără a efectua vreo schimbare în preţul unitar sau în alţi termeni şi condiţii ale ofertei şi ale documentelor de atribuire.</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28" w:name="_Toc392180182"/>
      <w:bookmarkStart w:id="129" w:name="_Toc449539072"/>
      <w:r>
        <w:rPr>
          <w:rFonts w:hint="default" w:ascii="Times New Roman" w:hAnsi="Times New Roman" w:cs="Times New Roman"/>
          <w:color w:val="auto"/>
        </w:rPr>
        <w:t>Înştiinţarea de adjudecare</w:t>
      </w:r>
      <w:bookmarkEnd w:id="128"/>
      <w:bookmarkEnd w:id="129"/>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Înainte de expirarea perioadei de valabilitate a ofertei, sistemul SIA „RSAP” va permite autorităților contractante pregătirea anunțului de atribuire și a notificării ofertanților, cărora li s-a atribuit sau nu contractul standardizat.</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Comunicarea prin care se realizează informarea este transmisă prin mijloace electronice la adresele indicate de către ofertanţi în ofertele acestora.</w:t>
      </w:r>
    </w:p>
    <w:p>
      <w:pPr>
        <w:keepNext w:val="0"/>
        <w:keepLines w:val="0"/>
        <w:pageBreakBefore w:val="0"/>
        <w:widowControl/>
        <w:numPr>
          <w:ilvl w:val="1"/>
          <w:numId w:val="3"/>
        </w:numPr>
        <w:tabs>
          <w:tab w:val="left" w:pos="960"/>
          <w:tab w:val="left" w:pos="1134"/>
          <w:tab w:val="left" w:pos="1701"/>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Ofertanţii necîştigători vor fi informați  cu privire la motivele pentru care ofertele lor nu au fost selectate.</w:t>
      </w:r>
    </w:p>
    <w:p>
      <w:pPr>
        <w:keepNext w:val="0"/>
        <w:keepLines w:val="0"/>
        <w:pageBreakBefore w:val="0"/>
        <w:widowControl/>
        <w:numPr>
          <w:ilvl w:val="0"/>
          <w:numId w:val="0"/>
        </w:numPr>
        <w:tabs>
          <w:tab w:val="left" w:pos="960"/>
          <w:tab w:val="left" w:pos="1134"/>
          <w:tab w:val="left" w:pos="1701"/>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30" w:name="_Toc449539073"/>
      <w:bookmarkStart w:id="131" w:name="_Toc392180183"/>
      <w:r>
        <w:rPr>
          <w:rFonts w:hint="default" w:ascii="Times New Roman" w:hAnsi="Times New Roman" w:cs="Times New Roman"/>
          <w:color w:val="auto"/>
        </w:rPr>
        <w:t>Garanţia de bună execuţie</w:t>
      </w:r>
      <w:bookmarkEnd w:id="130"/>
      <w:bookmarkEnd w:id="131"/>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La momentul încheierii contractului, dar nu mai tîrziu de data expirării Garanţiei pentru ofertă (dacă s-a cerut), ofertantul cîştigător va prezenta Garanţia de bună execuţie în mărimea prevăzută de</w:t>
      </w:r>
      <w:r>
        <w:rPr>
          <w:rFonts w:hint="default" w:ascii="Times New Roman" w:hAnsi="Times New Roman" w:cs="Times New Roman"/>
          <w:b/>
          <w:color w:val="auto"/>
        </w:rPr>
        <w:t xml:space="preserve"> FDA </w:t>
      </w:r>
      <w:r>
        <w:rPr>
          <w:rFonts w:hint="default" w:ascii="Times New Roman" w:hAnsi="Times New Roman" w:cs="Times New Roman"/>
          <w:color w:val="auto"/>
        </w:rPr>
        <w:t>, folosind în acest scop formularul Garanţiei de bună execuţie , sau alt formular acceptabil pentru autoritatea contractantă, dar care corespunde condiţiilor formularului.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32" w:name="_Toc392180184"/>
      <w:bookmarkStart w:id="133" w:name="_Toc449539074"/>
      <w:r>
        <w:rPr>
          <w:rFonts w:hint="default" w:ascii="Times New Roman" w:hAnsi="Times New Roman" w:cs="Times New Roman"/>
          <w:color w:val="auto"/>
        </w:rPr>
        <w:t>Semnarea contractului</w:t>
      </w:r>
      <w:bookmarkEnd w:id="132"/>
      <w:bookmarkEnd w:id="133"/>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 dată cu expedierea înştiinţării de adjudecare, autoritatea contractantă va trimite ofertantului cîştigător Formularul contractului  completat şi toate celelalte documente componente ale contratului.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rPr>
        <w:t xml:space="preserve">Ofertantul cîştigător va semna contractul </w:t>
      </w:r>
      <w:r>
        <w:rPr>
          <w:rFonts w:hint="default" w:ascii="Times New Roman" w:hAnsi="Times New Roman" w:cs="Times New Roman"/>
          <w:color w:val="auto"/>
          <w:lang w:val="en-US"/>
        </w:rPr>
        <w:t xml:space="preserve">numai după împlinirea termenelor de aşteptare, </w:t>
      </w:r>
      <w:r>
        <w:rPr>
          <w:rFonts w:hint="default" w:ascii="Times New Roman" w:hAnsi="Times New Roman" w:cs="Times New Roman"/>
          <w:color w:val="auto"/>
        </w:rPr>
        <w:t>în modul corespunzător şi îl va restitui autorităţii contractante în termenul specificat în</w:t>
      </w:r>
      <w:r>
        <w:rPr>
          <w:rFonts w:hint="default" w:ascii="Times New Roman" w:hAnsi="Times New Roman" w:cs="Times New Roman"/>
          <w:b/>
          <w:color w:val="auto"/>
        </w:rPr>
        <w:t xml:space="preserve"> FDA </w:t>
      </w:r>
      <w:r>
        <w:rPr>
          <w:rFonts w:hint="default" w:ascii="Times New Roman" w:hAnsi="Times New Roman" w:cs="Times New Roman"/>
          <w:color w:val="auto"/>
        </w:rPr>
        <w:t>.</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lang w:val="en-US"/>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34" w:name="_Toc449539076"/>
      <w:bookmarkStart w:id="135" w:name="_Toc392180186"/>
      <w:r>
        <w:rPr>
          <w:rFonts w:hint="default" w:ascii="Times New Roman" w:hAnsi="Times New Roman" w:cs="Times New Roman"/>
          <w:color w:val="auto"/>
        </w:rPr>
        <w:t>Dreptul de contestare</w:t>
      </w:r>
      <w:bookmarkEnd w:id="134"/>
      <w:bookmarkEnd w:id="135"/>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p>
    <w:p>
      <w:pPr>
        <w:pStyle w:val="4"/>
        <w:jc w:val="center"/>
        <w:rPr>
          <w:rFonts w:hint="default" w:ascii="Times New Roman" w:hAnsi="Times New Roman" w:cs="Times New Roman"/>
          <w:color w:val="auto"/>
          <w:sz w:val="22"/>
          <w:szCs w:val="22"/>
        </w:rPr>
      </w:pPr>
      <w:bookmarkStart w:id="136" w:name="_Toc392180198"/>
      <w:bookmarkStart w:id="137" w:name="_Toc449539086"/>
      <w:r>
        <w:rPr>
          <w:rFonts w:hint="default" w:ascii="Times New Roman" w:hAnsi="Times New Roman" w:cs="Times New Roman"/>
          <w:color w:val="auto"/>
          <w:sz w:val="22"/>
          <w:szCs w:val="22"/>
        </w:rPr>
        <w:t>Formularul ofertei</w:t>
      </w:r>
      <w:bookmarkEnd w:id="136"/>
      <w:bookmarkEnd w:id="137"/>
    </w:p>
    <w:p>
      <w:pPr>
        <w:pStyle w:val="14"/>
        <w:spacing w:after="0"/>
        <w:jc w:val="both"/>
        <w:rPr>
          <w:rFonts w:hint="default" w:ascii="Times New Roman" w:hAnsi="Times New Roman" w:cs="Times New Roman"/>
          <w:color w:val="auto"/>
          <w:sz w:val="22"/>
          <w:szCs w:val="22"/>
          <w:lang w:val="ro-RO"/>
        </w:rPr>
      </w:pPr>
      <w:r>
        <w:rPr>
          <w:rFonts w:hint="default" w:ascii="Times New Roman" w:hAnsi="Times New Roman" w:cs="Times New Roman"/>
          <w:i/>
          <w:iCs/>
          <w:color w:val="auto"/>
          <w:sz w:val="22"/>
          <w:szCs w:val="22"/>
          <w:lang w:val="ro-RO"/>
        </w:rPr>
        <w:t>[Ofertantul va completa acest formular în conformitate cu instrucţiunile de mai jos. Nu se vor permite modificări în formatul formularului, precum şi nu se vor accepta înlocuiri în textul acestuia.]</w:t>
      </w:r>
    </w:p>
    <w:p>
      <w:pPr>
        <w:tabs>
          <w:tab w:val="right" w:pos="6000"/>
          <w:tab w:val="right" w:pos="9360"/>
        </w:tabs>
        <w:spacing w:line="360" w:lineRule="auto"/>
        <w:ind w:right="99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Data depunerii ofertei: </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lang w:val="en-US"/>
        </w:rPr>
        <w:t>“___” _____________________ 20__</w:t>
      </w:r>
    </w:p>
    <w:p>
      <w:pPr>
        <w:tabs>
          <w:tab w:val="right" w:pos="6000"/>
          <w:tab w:val="right" w:pos="9360"/>
        </w:tabs>
        <w:spacing w:line="360" w:lineRule="auto"/>
        <w:ind w:right="66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Procedura de achiziție Nr.: </w:t>
      </w:r>
      <w:r>
        <w:rPr>
          <w:rFonts w:hint="default" w:ascii="Times New Roman" w:hAnsi="Times New Roman" w:cs="Times New Roman"/>
          <w:color w:val="auto"/>
          <w:sz w:val="22"/>
          <w:szCs w:val="22"/>
        </w:rPr>
        <w:tab/>
      </w:r>
      <w:r>
        <w:rPr>
          <w:rFonts w:hint="default" w:ascii="Times New Roman" w:hAnsi="Times New Roman" w:cs="Times New Roman"/>
          <w:iCs/>
          <w:color w:val="auto"/>
          <w:sz w:val="22"/>
          <w:szCs w:val="22"/>
        </w:rPr>
        <w:t>_______________________________________</w:t>
      </w:r>
    </w:p>
    <w:p>
      <w:pPr>
        <w:tabs>
          <w:tab w:val="right" w:pos="6000"/>
          <w:tab w:val="right" w:pos="9360"/>
        </w:tabs>
        <w:spacing w:line="360" w:lineRule="auto"/>
        <w:ind w:right="44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Anunț de participare Nr.: </w:t>
      </w:r>
      <w:r>
        <w:rPr>
          <w:rFonts w:hint="default" w:ascii="Times New Roman" w:hAnsi="Times New Roman" w:cs="Times New Roman"/>
          <w:color w:val="auto"/>
          <w:sz w:val="22"/>
          <w:szCs w:val="22"/>
        </w:rPr>
        <w:tab/>
      </w:r>
      <w:r>
        <w:rPr>
          <w:rFonts w:hint="default" w:ascii="Times New Roman" w:hAnsi="Times New Roman" w:cs="Times New Roman"/>
          <w:iCs/>
          <w:color w:val="auto"/>
          <w:sz w:val="22"/>
          <w:szCs w:val="22"/>
        </w:rPr>
        <w:t>______________________________</w:t>
      </w:r>
    </w:p>
    <w:p>
      <w:pPr>
        <w:tabs>
          <w:tab w:val="right" w:pos="6000"/>
        </w:tabs>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Către:  </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____________________________________________</w:t>
      </w:r>
    </w:p>
    <w:p>
      <w:pPr>
        <w:tabs>
          <w:tab w:val="left" w:pos="-9923"/>
          <w:tab w:val="right" w:pos="0"/>
          <w:tab w:val="left" w:pos="709"/>
        </w:tabs>
        <w:ind w:right="3531" w:firstLine="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[numele deplin al autorităţii contractante]</w:t>
      </w:r>
    </w:p>
    <w:p>
      <w:pPr>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________________________________________________________ declară că: </w:t>
      </w:r>
    </w:p>
    <w:p>
      <w:pPr>
        <w:tabs>
          <w:tab w:val="left" w:pos="-9923"/>
          <w:tab w:val="right" w:pos="0"/>
          <w:tab w:val="left" w:pos="709"/>
        </w:tabs>
        <w:ind w:right="2811"/>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[denumirea ofertantului]</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Au fost examinate şi nu există rezervări faţă de documentele de atribuire, inclusiv modificările nr. ___________________________________________________________.</w:t>
      </w:r>
    </w:p>
    <w:p>
      <w:pPr>
        <w:ind w:left="720" w:firstLine="156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[introduceţi numărul şi data fiecărei modificări, dacă au avut loc]</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____________________________________________________________ se angajează să</w:t>
      </w:r>
    </w:p>
    <w:p>
      <w:pPr>
        <w:tabs>
          <w:tab w:val="left" w:pos="-9923"/>
          <w:tab w:val="right" w:pos="0"/>
          <w:tab w:val="left" w:pos="709"/>
        </w:tabs>
        <w:ind w:right="1611" w:firstLine="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[denumirea ofertantului]</w:t>
      </w:r>
    </w:p>
    <w:p>
      <w:p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furnizeze în conformitate cu documentele de atribuire şi condiţiile stipulate în specificaţiile tehnice şi preț, următoarele bunuri _______________________ ________________________________________________________________________. </w:t>
      </w:r>
    </w:p>
    <w:p>
      <w:pPr>
        <w:ind w:left="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[introduceţi o descriere succintă a bunurilor]</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Suma totală a ofertei  fără TVA constituie:</w:t>
      </w:r>
    </w:p>
    <w:p>
      <w:p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________________________________________________________________________.</w:t>
      </w:r>
    </w:p>
    <w:p>
      <w:pPr>
        <w:ind w:left="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[introduceţi preţul pe loturi (unde e cazul) şi totalul ofertei în cuvinte şi cifre, indicînd toate sumele şi valutele respective]</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Suma totală a ofertei  cu TVA constituie:</w:t>
      </w:r>
    </w:p>
    <w:p>
      <w:p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________________________________________________________________________.</w:t>
      </w:r>
    </w:p>
    <w:p>
      <w:pPr>
        <w:ind w:left="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[introduceţi preţul pe loturi (unde e cazul) şi totalul ofertei în cuvinte şi cifre, indicînd toate sumele şi valutele respective]</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Prezenta ofertă va rămîne valabilă pentru perioada de timp specificată în </w:t>
      </w:r>
      <w:r>
        <w:rPr>
          <w:rFonts w:hint="default" w:ascii="Times New Roman" w:hAnsi="Times New Roman" w:cs="Times New Roman"/>
          <w:b/>
          <w:color w:val="auto"/>
          <w:sz w:val="22"/>
          <w:szCs w:val="22"/>
        </w:rPr>
        <w:t>FDA3.8.</w:t>
      </w:r>
      <w:r>
        <w:rPr>
          <w:rFonts w:hint="default" w:ascii="Times New Roman" w:hAnsi="Times New Roman" w:cs="Times New Roman"/>
          <w:color w:val="auto"/>
          <w:sz w:val="22"/>
          <w:szCs w:val="22"/>
        </w:rPr>
        <w:t xml:space="preserve">, începînd cu data-limită pentru depunerea ofertei, în conformitate cu </w:t>
      </w:r>
      <w:r>
        <w:rPr>
          <w:rFonts w:hint="default" w:ascii="Times New Roman" w:hAnsi="Times New Roman" w:cs="Times New Roman"/>
          <w:b/>
          <w:color w:val="auto"/>
          <w:sz w:val="22"/>
          <w:szCs w:val="22"/>
        </w:rPr>
        <w:t>FDA4.2.</w:t>
      </w:r>
      <w:r>
        <w:rPr>
          <w:rFonts w:hint="default" w:ascii="Times New Roman" w:hAnsi="Times New Roman" w:cs="Times New Roman"/>
          <w:color w:val="auto"/>
          <w:sz w:val="22"/>
          <w:szCs w:val="22"/>
        </w:rPr>
        <w:t>, va rămîne obligatorie şi va putea fi acceptată în orice moment pînă la expirarea acestei perioade;</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În cazul acceptării prezentei oferte, ____________________________________________ </w:t>
      </w:r>
    </w:p>
    <w:p>
      <w:pPr>
        <w:ind w:left="720" w:firstLine="348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[denumirea ofertantului]</w:t>
      </w:r>
    </w:p>
    <w:p>
      <w:p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se angajează să obţină o Garanţie de bună execuţie în conformitate cu </w:t>
      </w:r>
      <w:r>
        <w:rPr>
          <w:rFonts w:hint="default" w:ascii="Times New Roman" w:hAnsi="Times New Roman" w:cs="Times New Roman"/>
          <w:b/>
          <w:color w:val="auto"/>
          <w:sz w:val="22"/>
          <w:szCs w:val="22"/>
        </w:rPr>
        <w:t>FDA6</w:t>
      </w:r>
      <w:r>
        <w:rPr>
          <w:rFonts w:hint="default" w:ascii="Times New Roman" w:hAnsi="Times New Roman" w:cs="Times New Roman"/>
          <w:color w:val="auto"/>
          <w:sz w:val="22"/>
          <w:szCs w:val="22"/>
        </w:rPr>
        <w:t>, pentru executarea corespunzătoare a contractului de achiziţie .</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Nu sîntem în nici un conflict de interese, în conformitate cu art. 74 din Legea nr. 131 din 03.07.2015 privind achizițiile publice.</w:t>
      </w:r>
    </w:p>
    <w:p>
      <w:pPr>
        <w:numPr>
          <w:ilvl w:val="0"/>
          <w:numId w:val="16"/>
        </w:numPr>
        <w:ind w:left="720" w:hanging="268"/>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Compania semnatară, afiliaţii sau sucursalele sale, inclusiv fiecare partener sau subcontractor ce fac parte din contract, nu au fost declarate neeligibile în baza prevederilor legislaţiei în vigoare sau a regulamentelor cu incidenţă în domeniul achiziţiilor .</w:t>
      </w:r>
    </w:p>
    <w:p>
      <w:pPr>
        <w:ind w:left="708"/>
        <w:jc w:val="both"/>
        <w:rPr>
          <w:rFonts w:hint="default" w:ascii="Times New Roman" w:hAnsi="Times New Roman" w:cs="Times New Roman"/>
          <w:color w:val="auto"/>
          <w:sz w:val="22"/>
          <w:szCs w:val="22"/>
        </w:rPr>
      </w:pPr>
    </w:p>
    <w:p>
      <w:pPr>
        <w:tabs>
          <w:tab w:val="left" w:pos="6120"/>
        </w:tabs>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Semnat:________________________________________________ </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p>
    <w:p>
      <w:pPr>
        <w:ind w:right="3051" w:firstLine="84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[semnătura persoanei autorizate pentru semnarea ofertei]</w:t>
      </w:r>
    </w:p>
    <w:p>
      <w:pPr>
        <w:tabs>
          <w:tab w:val="left" w:pos="6120"/>
        </w:tabs>
        <w:ind w:firstLine="720"/>
        <w:jc w:val="both"/>
        <w:rPr>
          <w:rFonts w:hint="default" w:ascii="Times New Roman" w:hAnsi="Times New Roman" w:cs="Times New Roman"/>
          <w:color w:val="auto"/>
          <w:sz w:val="22"/>
          <w:szCs w:val="22"/>
        </w:rPr>
      </w:pPr>
    </w:p>
    <w:p>
      <w:pPr>
        <w:tabs>
          <w:tab w:val="left" w:pos="6120"/>
        </w:tabs>
        <w:spacing w:line="36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Nume:_________________________________________________ </w:t>
      </w:r>
      <w:r>
        <w:rPr>
          <w:rFonts w:hint="default" w:ascii="Times New Roman" w:hAnsi="Times New Roman" w:cs="Times New Roman"/>
          <w:color w:val="auto"/>
          <w:sz w:val="22"/>
          <w:szCs w:val="22"/>
        </w:rPr>
        <w:tab/>
      </w:r>
    </w:p>
    <w:p>
      <w:pPr>
        <w:tabs>
          <w:tab w:val="left" w:pos="0"/>
        </w:tabs>
        <w:ind w:right="2931"/>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În calitate de: ___________________________________________ </w:t>
      </w:r>
    </w:p>
    <w:p>
      <w:pPr>
        <w:ind w:firstLine="144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[funcţia oficială a persoanei ce semnează formularul ofertei] </w:t>
      </w:r>
    </w:p>
    <w:p>
      <w:pPr>
        <w:spacing w:line="36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Ofertantul: _____________________________________________</w:t>
      </w:r>
    </w:p>
    <w:p>
      <w:pPr>
        <w:tabs>
          <w:tab w:val="left" w:pos="6120"/>
        </w:tabs>
        <w:spacing w:line="36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Adresa: ________________________________________________</w:t>
      </w:r>
    </w:p>
    <w:p>
      <w:pPr>
        <w:pStyle w:val="14"/>
        <w:spacing w:after="0" w:line="36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ro-RO"/>
        </w:rPr>
        <w:t xml:space="preserve">Data: </w:t>
      </w:r>
      <w:r>
        <w:rPr>
          <w:rFonts w:hint="default" w:ascii="Times New Roman" w:hAnsi="Times New Roman" w:cs="Times New Roman"/>
          <w:color w:val="auto"/>
          <w:sz w:val="22"/>
          <w:szCs w:val="22"/>
        </w:rPr>
        <w:t>“___” _____________________ 20__</w:t>
      </w: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p>
    <w:p>
      <w:pPr>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Garanţia pentru oferta (Garanția bancară)</w:t>
      </w:r>
    </w:p>
    <w:p>
      <w:pPr>
        <w:pStyle w:val="14"/>
        <w:spacing w:after="0"/>
        <w:ind w:left="240" w:leftChars="100" w:firstLine="0" w:firstLineChars="0"/>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pPr>
        <w:pStyle w:val="11"/>
        <w:tabs>
          <w:tab w:val="right" w:pos="7913"/>
        </w:tabs>
        <w:ind w:firstLine="0"/>
        <w:rPr>
          <w:iCs/>
          <w:lang w:val="ro-RO"/>
        </w:rPr>
      </w:pPr>
      <w:r>
        <w:rPr>
          <w:iCs/>
          <w:lang w:val="ro-RO"/>
        </w:rPr>
        <w:tab/>
      </w:r>
      <w:r>
        <w:rPr>
          <w:iCs/>
          <w:lang w:val="ro-RO"/>
        </w:rPr>
        <w:t>__________________________________________________________________</w:t>
      </w:r>
    </w:p>
    <w:p>
      <w:pPr>
        <w:pStyle w:val="11"/>
        <w:tabs>
          <w:tab w:val="right" w:pos="7920"/>
        </w:tabs>
        <w:ind w:right="1611" w:firstLine="0"/>
        <w:jc w:val="center"/>
        <w:rPr>
          <w:sz w:val="20"/>
          <w:szCs w:val="20"/>
          <w:lang w:val="ro-RO"/>
        </w:rPr>
      </w:pPr>
      <w:r>
        <w:rPr>
          <w:iCs/>
          <w:sz w:val="20"/>
          <w:szCs w:val="20"/>
          <w:lang w:val="ro-RO"/>
        </w:rPr>
        <w:t>[Numele băncii şi adresa oficiului sau a filialei emitente]</w:t>
      </w:r>
    </w:p>
    <w:p>
      <w:pPr>
        <w:pStyle w:val="11"/>
        <w:tabs>
          <w:tab w:val="right" w:pos="7920"/>
        </w:tabs>
        <w:ind w:firstLine="0"/>
        <w:rPr>
          <w:lang w:val="ro-RO"/>
        </w:rPr>
      </w:pPr>
      <w:r>
        <w:rPr>
          <w:b/>
          <w:bCs/>
          <w:lang w:val="ro-RO"/>
        </w:rPr>
        <w:t xml:space="preserve">Beneficiar: </w:t>
      </w:r>
      <w:r>
        <w:rPr>
          <w:b/>
          <w:bCs/>
          <w:lang w:val="ro-RO"/>
        </w:rPr>
        <w:tab/>
      </w:r>
      <w:r>
        <w:rPr>
          <w:lang w:val="ro-RO"/>
        </w:rPr>
        <w:t xml:space="preserve">_______________________________________________________ </w:t>
      </w:r>
    </w:p>
    <w:p>
      <w:pPr>
        <w:pStyle w:val="11"/>
        <w:spacing w:line="360" w:lineRule="auto"/>
        <w:ind w:right="1611" w:firstLine="1320"/>
        <w:jc w:val="center"/>
        <w:rPr>
          <w:iCs/>
          <w:sz w:val="20"/>
          <w:szCs w:val="20"/>
          <w:lang w:val="ro-RO"/>
        </w:rPr>
      </w:pPr>
      <w:r>
        <w:rPr>
          <w:iCs/>
          <w:sz w:val="20"/>
          <w:szCs w:val="20"/>
          <w:lang w:val="ro-RO"/>
        </w:rPr>
        <w:t>[numele şi adresa autorităţii contractante]</w:t>
      </w:r>
    </w:p>
    <w:p>
      <w:pPr>
        <w:pStyle w:val="11"/>
        <w:spacing w:line="360" w:lineRule="auto"/>
        <w:ind w:firstLine="0"/>
        <w:rPr>
          <w:lang w:val="ro-RO"/>
        </w:rPr>
      </w:pPr>
      <w:r>
        <w:rPr>
          <w:b/>
          <w:bCs/>
          <w:lang w:val="ro-RO"/>
        </w:rPr>
        <w:t xml:space="preserve">Data: </w:t>
      </w:r>
      <w:r>
        <w:rPr>
          <w:lang w:val="en-US"/>
        </w:rPr>
        <w:t>“___” _____________________ 20__</w:t>
      </w:r>
    </w:p>
    <w:p>
      <w:pPr>
        <w:pStyle w:val="11"/>
        <w:ind w:firstLine="720"/>
        <w:rPr>
          <w:b/>
          <w:bCs/>
          <w:lang w:val="ro-RO"/>
        </w:rPr>
      </w:pPr>
    </w:p>
    <w:p>
      <w:pPr>
        <w:pStyle w:val="11"/>
        <w:ind w:firstLine="0"/>
        <w:jc w:val="center"/>
        <w:rPr>
          <w:lang w:val="ro-RO"/>
        </w:rPr>
      </w:pPr>
      <w:r>
        <w:rPr>
          <w:b/>
          <w:bCs/>
          <w:lang w:val="ro-RO"/>
        </w:rPr>
        <w:t>GARANŢIE DE OFERTĂ Nr.</w:t>
      </w:r>
      <w:r>
        <w:rPr>
          <w:lang w:val="ro-RO"/>
        </w:rPr>
        <w:t>_________________</w:t>
      </w:r>
    </w:p>
    <w:p>
      <w:pPr>
        <w:pStyle w:val="11"/>
        <w:ind w:firstLine="720"/>
        <w:rPr>
          <w:lang w:val="ro-RO"/>
        </w:rPr>
      </w:pPr>
    </w:p>
    <w:p>
      <w:pPr>
        <w:pStyle w:val="11"/>
        <w:tabs>
          <w:tab w:val="right" w:pos="9531"/>
        </w:tabs>
        <w:ind w:firstLine="0"/>
        <w:rPr>
          <w:lang w:val="ro-RO"/>
        </w:rPr>
      </w:pPr>
      <w:r>
        <w:rPr>
          <w:lang w:val="ro-RO"/>
        </w:rPr>
        <w:t xml:space="preserve">_______________________________________________________________ </w:t>
      </w:r>
      <w:r>
        <w:rPr>
          <w:lang w:val="ro-RO"/>
        </w:rPr>
        <w:tab/>
      </w:r>
      <w:r>
        <w:rPr>
          <w:lang w:val="ro-RO"/>
        </w:rPr>
        <w:t xml:space="preserve">a fost informată că </w:t>
      </w:r>
    </w:p>
    <w:p>
      <w:pPr>
        <w:pStyle w:val="11"/>
        <w:ind w:right="1851" w:firstLine="0"/>
        <w:jc w:val="center"/>
        <w:rPr>
          <w:sz w:val="20"/>
          <w:szCs w:val="20"/>
          <w:lang w:val="ro-RO"/>
        </w:rPr>
      </w:pPr>
      <w:r>
        <w:rPr>
          <w:sz w:val="20"/>
          <w:szCs w:val="20"/>
          <w:lang w:val="ro-RO"/>
        </w:rPr>
        <w:t>[denumirea băncii]</w:t>
      </w:r>
    </w:p>
    <w:p>
      <w:pPr>
        <w:pStyle w:val="11"/>
        <w:tabs>
          <w:tab w:val="right" w:pos="9531"/>
        </w:tabs>
        <w:ind w:firstLine="0"/>
        <w:rPr>
          <w:lang w:val="ro-RO"/>
        </w:rPr>
      </w:pPr>
      <w:r>
        <w:rPr>
          <w:lang w:val="ro-RO"/>
        </w:rPr>
        <w:t xml:space="preserve">____________________________________________________ </w:t>
      </w:r>
      <w:r>
        <w:rPr>
          <w:lang w:val="ro-RO"/>
        </w:rPr>
        <w:tab/>
      </w:r>
      <w:r>
        <w:rPr>
          <w:lang w:val="ro-RO"/>
        </w:rPr>
        <w:t>(numit în continuare „Ofertant”)</w:t>
      </w:r>
    </w:p>
    <w:p>
      <w:pPr>
        <w:pStyle w:val="11"/>
        <w:ind w:right="3291" w:firstLine="0"/>
        <w:jc w:val="center"/>
        <w:rPr>
          <w:sz w:val="20"/>
          <w:szCs w:val="20"/>
          <w:lang w:val="ro-RO"/>
        </w:rPr>
      </w:pPr>
      <w:r>
        <w:rPr>
          <w:iCs/>
          <w:sz w:val="20"/>
          <w:szCs w:val="20"/>
          <w:lang w:val="ro-RO"/>
        </w:rPr>
        <w:t>[numele ofertantului]</w:t>
      </w:r>
    </w:p>
    <w:p>
      <w:pPr>
        <w:pStyle w:val="11"/>
        <w:tabs>
          <w:tab w:val="right" w:pos="9531"/>
        </w:tabs>
        <w:ind w:firstLine="0"/>
        <w:rPr>
          <w:lang w:val="ro-RO"/>
        </w:rPr>
      </w:pPr>
      <w:r>
        <w:rPr>
          <w:lang w:val="ro-RO"/>
        </w:rPr>
        <w:t>urmează să înainteze oferta către Dvs. la data de “___” _____________________ 20__ (numită în continuare „ofertă”) pentru livrarea</w:t>
      </w:r>
      <w:r>
        <w:rPr>
          <w:lang w:val="ro-RO"/>
        </w:rPr>
        <w:tab/>
      </w:r>
      <w:r>
        <w:rPr>
          <w:lang w:val="ro-RO"/>
        </w:rPr>
        <w:t>__________________________________________</w:t>
      </w:r>
    </w:p>
    <w:p>
      <w:pPr>
        <w:pStyle w:val="11"/>
        <w:ind w:firstLine="4440"/>
        <w:jc w:val="center"/>
        <w:rPr>
          <w:sz w:val="20"/>
          <w:szCs w:val="20"/>
          <w:lang w:val="ro-RO"/>
        </w:rPr>
      </w:pPr>
      <w:r>
        <w:rPr>
          <w:iCs/>
          <w:sz w:val="20"/>
          <w:szCs w:val="20"/>
          <w:lang w:val="ro-RO"/>
        </w:rPr>
        <w:t>[obiectul achiziţiei]</w:t>
      </w:r>
    </w:p>
    <w:p>
      <w:pPr>
        <w:pStyle w:val="11"/>
        <w:ind w:firstLine="0"/>
        <w:rPr>
          <w:lang w:val="ro-RO"/>
        </w:rPr>
      </w:pPr>
      <w:r>
        <w:rPr>
          <w:lang w:val="ro-RO"/>
        </w:rPr>
        <w:t>conform anunțului de participare nr. __________________ din “___” _____________________ 20__.</w:t>
      </w:r>
    </w:p>
    <w:p>
      <w:pPr>
        <w:pStyle w:val="11"/>
        <w:ind w:firstLine="720"/>
        <w:rPr>
          <w:lang w:val="ro-RO"/>
        </w:rPr>
      </w:pPr>
    </w:p>
    <w:p>
      <w:pPr>
        <w:pStyle w:val="11"/>
        <w:ind w:firstLine="0"/>
        <w:rPr>
          <w:iCs/>
          <w:lang w:val="ro-RO"/>
        </w:rPr>
      </w:pPr>
      <w:r>
        <w:rPr>
          <w:lang w:val="ro-RO"/>
        </w:rPr>
        <w:t>La cererea Ofertantului, noi, ____________________________________________</w:t>
      </w:r>
      <w:r>
        <w:rPr>
          <w:iCs/>
          <w:lang w:val="ro-RO"/>
        </w:rPr>
        <w:t>,</w:t>
      </w:r>
      <w:r>
        <w:rPr>
          <w:i/>
          <w:iCs/>
          <w:lang w:val="ro-RO"/>
        </w:rPr>
        <w:t xml:space="preserve"> </w:t>
      </w:r>
      <w:r>
        <w:rPr>
          <w:iCs/>
          <w:lang w:val="ro-RO"/>
        </w:rPr>
        <w:t xml:space="preserve">prin prezenta, </w:t>
      </w:r>
    </w:p>
    <w:p>
      <w:pPr>
        <w:pStyle w:val="11"/>
        <w:ind w:right="1491" w:firstLine="2760"/>
        <w:jc w:val="center"/>
        <w:rPr>
          <w:sz w:val="20"/>
          <w:szCs w:val="20"/>
          <w:lang w:val="ro-RO"/>
        </w:rPr>
      </w:pPr>
      <w:r>
        <w:rPr>
          <w:sz w:val="20"/>
          <w:szCs w:val="20"/>
          <w:lang w:val="ro-RO"/>
        </w:rPr>
        <w:t>[denumirea băncii]</w:t>
      </w:r>
    </w:p>
    <w:p>
      <w:pPr>
        <w:pStyle w:val="11"/>
        <w:tabs>
          <w:tab w:val="right" w:pos="9531"/>
        </w:tabs>
        <w:ind w:firstLine="0"/>
        <w:rPr>
          <w:iCs/>
          <w:lang w:val="ro-RO"/>
        </w:rPr>
      </w:pPr>
      <w:r>
        <w:rPr>
          <w:iCs/>
          <w:lang w:val="ro-RO"/>
        </w:rPr>
        <w:t>ne angajăm în mod irevocabil să vă plătim orice sumă sau sume ce nu depăşesc în total suma de:</w:t>
      </w:r>
    </w:p>
    <w:p>
      <w:pPr>
        <w:pStyle w:val="11"/>
        <w:ind w:firstLine="0"/>
        <w:rPr>
          <w:iCs/>
          <w:lang w:val="ro-RO"/>
        </w:rPr>
      </w:pPr>
      <w:r>
        <w:rPr>
          <w:iCs/>
          <w:lang w:val="ro-RO"/>
        </w:rPr>
        <w:t>______________________ (_______________________________________________________)</w:t>
      </w:r>
    </w:p>
    <w:p>
      <w:pPr>
        <w:pStyle w:val="11"/>
        <w:ind w:firstLine="0"/>
        <w:rPr>
          <w:sz w:val="20"/>
          <w:szCs w:val="20"/>
          <w:lang w:val="ro-RO"/>
        </w:rPr>
      </w:pPr>
      <w:r>
        <w:rPr>
          <w:iCs/>
          <w:sz w:val="20"/>
          <w:szCs w:val="20"/>
          <w:lang w:val="ro-RO"/>
        </w:rPr>
        <w:tab/>
      </w:r>
      <w:r>
        <w:rPr>
          <w:iCs/>
          <w:sz w:val="20"/>
          <w:szCs w:val="20"/>
          <w:lang w:val="ro-RO"/>
        </w:rPr>
        <w:t xml:space="preserve">[suma în cifre] </w:t>
      </w:r>
      <w:r>
        <w:rPr>
          <w:iCs/>
          <w:sz w:val="20"/>
          <w:szCs w:val="20"/>
          <w:lang w:val="ro-RO"/>
        </w:rPr>
        <w:tab/>
      </w:r>
      <w:r>
        <w:rPr>
          <w:iCs/>
          <w:sz w:val="20"/>
          <w:szCs w:val="20"/>
          <w:lang w:val="ro-RO"/>
        </w:rPr>
        <w:tab/>
      </w:r>
      <w:r>
        <w:rPr>
          <w:iCs/>
          <w:sz w:val="20"/>
          <w:szCs w:val="20"/>
          <w:lang w:val="ro-RO"/>
        </w:rPr>
        <w:tab/>
      </w:r>
      <w:r>
        <w:rPr>
          <w:iCs/>
          <w:sz w:val="20"/>
          <w:szCs w:val="20"/>
          <w:lang w:val="ro-RO"/>
        </w:rPr>
        <w:tab/>
      </w:r>
      <w:r>
        <w:rPr>
          <w:iCs/>
          <w:sz w:val="20"/>
          <w:szCs w:val="20"/>
          <w:lang w:val="ro-RO"/>
        </w:rPr>
        <w:tab/>
      </w:r>
      <w:r>
        <w:rPr>
          <w:sz w:val="20"/>
          <w:szCs w:val="20"/>
          <w:lang w:val="ro-RO"/>
        </w:rPr>
        <w:t>(</w:t>
      </w:r>
      <w:r>
        <w:rPr>
          <w:iCs/>
          <w:sz w:val="20"/>
          <w:szCs w:val="20"/>
          <w:lang w:val="ro-RO"/>
        </w:rPr>
        <w:t>[suma în cuvinte]</w:t>
      </w:r>
      <w:r>
        <w:rPr>
          <w:sz w:val="20"/>
          <w:szCs w:val="20"/>
          <w:lang w:val="ro-RO"/>
        </w:rPr>
        <w:t>)</w:t>
      </w:r>
    </w:p>
    <w:p>
      <w:pPr>
        <w:pStyle w:val="11"/>
        <w:ind w:firstLine="0"/>
        <w:rPr>
          <w:i/>
          <w:iCs/>
          <w:lang w:val="ro-RO"/>
        </w:rPr>
      </w:pPr>
      <w:r>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pPr>
        <w:pStyle w:val="11"/>
        <w:numPr>
          <w:ilvl w:val="1"/>
          <w:numId w:val="17"/>
        </w:numPr>
        <w:tabs>
          <w:tab w:val="left" w:pos="720"/>
        </w:tabs>
        <w:ind w:left="720"/>
        <w:rPr>
          <w:lang w:val="ro-RO"/>
        </w:rPr>
      </w:pPr>
      <w:r>
        <w:rPr>
          <w:lang w:val="ro-RO"/>
        </w:rPr>
        <w:t xml:space="preserve">şi-a retras oferta în timpul perioadei valabilităţii ofertei sau a modificat oferta după expirarea termenului-limită de depunere a ofertelor; sau </w:t>
      </w:r>
    </w:p>
    <w:p>
      <w:pPr>
        <w:pStyle w:val="11"/>
        <w:numPr>
          <w:ilvl w:val="1"/>
          <w:numId w:val="17"/>
        </w:numPr>
        <w:tabs>
          <w:tab w:val="left" w:pos="720"/>
        </w:tabs>
        <w:ind w:left="720"/>
        <w:rPr>
          <w:lang w:val="ro-RO"/>
        </w:rPr>
      </w:pPr>
      <w:r>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pPr>
        <w:pStyle w:val="11"/>
        <w:ind w:firstLine="0"/>
        <w:rPr>
          <w:lang w:val="ro-RO"/>
        </w:rPr>
      </w:pPr>
    </w:p>
    <w:p>
      <w:pPr>
        <w:pStyle w:val="11"/>
        <w:rPr>
          <w:lang w:val="ro-RO"/>
        </w:rPr>
      </w:pPr>
      <w:r>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pPr>
        <w:pStyle w:val="11"/>
        <w:ind w:firstLine="0"/>
        <w:rPr>
          <w:lang w:val="ro-RO"/>
        </w:rPr>
      </w:pPr>
    </w:p>
    <w:p>
      <w:pPr>
        <w:pStyle w:val="11"/>
        <w:rPr>
          <w:lang w:val="ro-RO" w:eastAsia="en-US"/>
        </w:rPr>
      </w:pPr>
      <w:r>
        <w:rPr>
          <w:lang w:val="ro-RO"/>
        </w:rPr>
        <w:t>Prezenta garanţie este valabilă pînă la data de “___” _____________________ 20__.</w:t>
      </w:r>
    </w:p>
    <w:p>
      <w:pPr>
        <w:pStyle w:val="11"/>
        <w:rPr>
          <w:lang w:val="ro-RO"/>
        </w:rPr>
      </w:pPr>
    </w:p>
    <w:p>
      <w:pPr>
        <w:pStyle w:val="11"/>
        <w:ind w:firstLine="0"/>
        <w:rPr>
          <w:b/>
          <w:bCs/>
          <w:lang w:val="ro-RO"/>
        </w:rPr>
      </w:pPr>
      <w:r>
        <w:rPr>
          <w:b/>
          <w:bCs/>
          <w:lang w:val="ro-RO"/>
        </w:rPr>
        <w:t>_________________________________________</w:t>
      </w:r>
    </w:p>
    <w:p>
      <w:pPr>
        <w:jc w:val="center"/>
        <w:rPr>
          <w:iCs/>
          <w:sz w:val="20"/>
          <w:szCs w:val="20"/>
          <w:lang w:val="ro-RO"/>
        </w:rPr>
      </w:pPr>
      <w:r>
        <w:rPr>
          <w:iCs/>
          <w:sz w:val="20"/>
          <w:szCs w:val="20"/>
          <w:lang w:val="ro-RO"/>
        </w:rPr>
        <w:t>[semnătura autorizată a băncii]</w:t>
      </w:r>
    </w:p>
    <w:p>
      <w:pPr>
        <w:pStyle w:val="4"/>
        <w:rPr>
          <w:rFonts w:hint="default" w:ascii="Times New Roman" w:hAnsi="Times New Roman" w:cs="Times New Roman"/>
          <w:color w:val="auto"/>
          <w:sz w:val="22"/>
          <w:szCs w:val="22"/>
        </w:rPr>
      </w:pPr>
      <w:bookmarkStart w:id="138" w:name="_Toc449539093"/>
      <w:bookmarkStart w:id="139" w:name="_Toc392180203"/>
    </w:p>
    <w:p>
      <w:pPr>
        <w:rPr>
          <w:rFonts w:hint="default"/>
        </w:rPr>
      </w:pPr>
    </w:p>
    <w:p>
      <w:pPr>
        <w:pStyle w:val="4"/>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Garanţie de bună execuţie </w:t>
      </w:r>
      <w:bookmarkEnd w:id="138"/>
      <w:bookmarkEnd w:id="139"/>
    </w:p>
    <w:p>
      <w:pPr>
        <w:pStyle w:val="14"/>
        <w:spacing w:after="0"/>
        <w:jc w:val="both"/>
        <w:rPr>
          <w:rFonts w:hint="default" w:ascii="Times New Roman" w:hAnsi="Times New Roman" w:cs="Times New Roman"/>
          <w:i/>
          <w:iCs/>
          <w:color w:val="auto"/>
          <w:sz w:val="22"/>
          <w:szCs w:val="22"/>
          <w:lang w:val="ro-RO"/>
        </w:rPr>
      </w:pPr>
    </w:p>
    <w:p>
      <w:pPr>
        <w:pStyle w:val="14"/>
        <w:spacing w:after="0"/>
        <w:jc w:val="both"/>
        <w:rPr>
          <w:i/>
          <w:iCs/>
          <w:szCs w:val="24"/>
          <w:lang w:val="ro-RO"/>
        </w:rPr>
      </w:pPr>
    </w:p>
    <w:p>
      <w:pPr>
        <w:pStyle w:val="14"/>
        <w:spacing w:after="0"/>
        <w:jc w:val="both"/>
        <w:rPr>
          <w:i/>
          <w:iCs/>
          <w:szCs w:val="24"/>
          <w:lang w:val="ro-RO"/>
        </w:rPr>
      </w:pPr>
      <w:r>
        <w:rPr>
          <w:i/>
          <w:iCs/>
          <w:szCs w:val="24"/>
          <w:lang w:val="ro-RO"/>
        </w:rPr>
        <w:t>[Banca comercială, la cererea ofertantului cîştigător, va completa acest formular pe foaie cu antet, în conformitate cu instrucţiunile de mai jos.]</w:t>
      </w:r>
    </w:p>
    <w:p>
      <w:pPr>
        <w:pStyle w:val="14"/>
        <w:spacing w:after="0"/>
        <w:jc w:val="both"/>
        <w:rPr>
          <w:i/>
          <w:iCs/>
          <w:szCs w:val="24"/>
          <w:lang w:val="ro-RO"/>
        </w:rPr>
      </w:pPr>
    </w:p>
    <w:p>
      <w:pPr>
        <w:tabs>
          <w:tab w:val="right" w:pos="6000"/>
          <w:tab w:val="right" w:pos="9360"/>
        </w:tabs>
        <w:spacing w:line="360" w:lineRule="auto"/>
        <w:ind w:right="990"/>
        <w:jc w:val="both"/>
      </w:pPr>
      <w:r>
        <w:t xml:space="preserve">Data: </w:t>
      </w:r>
      <w:r>
        <w:rPr>
          <w:lang w:val="en-US"/>
        </w:rPr>
        <w:t>“___” _____________________ 20__</w:t>
      </w:r>
    </w:p>
    <w:p>
      <w:pPr>
        <w:tabs>
          <w:tab w:val="right" w:pos="6000"/>
          <w:tab w:val="right" w:pos="9360"/>
        </w:tabs>
        <w:spacing w:line="360" w:lineRule="auto"/>
        <w:ind w:right="660"/>
        <w:jc w:val="both"/>
      </w:pPr>
      <w:r>
        <w:rPr>
          <w:bCs/>
          <w:lang w:val="zh-CN"/>
        </w:rPr>
        <w:t xml:space="preserve">Procedura de achiziție </w:t>
      </w:r>
      <w:r>
        <w:t xml:space="preserve">Nr.: </w:t>
      </w:r>
      <w:r>
        <w:tab/>
      </w:r>
      <w:r>
        <w:rPr>
          <w:iCs/>
        </w:rPr>
        <w:t>_______________________________________</w:t>
      </w:r>
    </w:p>
    <w:p>
      <w:pPr>
        <w:tabs>
          <w:tab w:val="right" w:pos="6000"/>
        </w:tabs>
        <w:spacing w:line="360" w:lineRule="auto"/>
        <w:jc w:val="both"/>
        <w:rPr>
          <w:b/>
        </w:rPr>
      </w:pPr>
    </w:p>
    <w:p>
      <w:pPr>
        <w:tabs>
          <w:tab w:val="right" w:pos="6000"/>
        </w:tabs>
        <w:jc w:val="both"/>
        <w:rPr>
          <w:iCs/>
        </w:rPr>
      </w:pPr>
      <w:r>
        <w:rPr>
          <w:b/>
        </w:rPr>
        <w:t>Oficiul Băncii</w:t>
      </w:r>
      <w:r>
        <w:t>:</w:t>
      </w:r>
      <w:r>
        <w:tab/>
      </w:r>
      <w:r>
        <w:rPr>
          <w:iCs/>
        </w:rPr>
        <w:t>_____________________________________</w:t>
      </w:r>
    </w:p>
    <w:p>
      <w:pPr>
        <w:tabs>
          <w:tab w:val="right" w:pos="6000"/>
        </w:tabs>
        <w:spacing w:line="360" w:lineRule="auto"/>
        <w:ind w:right="3574" w:firstLine="1560"/>
        <w:jc w:val="center"/>
        <w:rPr>
          <w:sz w:val="18"/>
          <w:szCs w:val="18"/>
        </w:rPr>
      </w:pPr>
      <w:r>
        <w:rPr>
          <w:i/>
          <w:iCs/>
          <w:sz w:val="18"/>
          <w:szCs w:val="18"/>
        </w:rPr>
        <w:t>[introduceţi numele complet al garantului]</w:t>
      </w:r>
    </w:p>
    <w:p>
      <w:pPr>
        <w:tabs>
          <w:tab w:val="right" w:pos="6000"/>
          <w:tab w:val="right" w:pos="9360"/>
        </w:tabs>
        <w:ind w:right="658"/>
        <w:jc w:val="both"/>
        <w:rPr>
          <w:iCs/>
        </w:rPr>
      </w:pPr>
      <w:r>
        <w:rPr>
          <w:b/>
        </w:rPr>
        <w:t>Beneficiar</w:t>
      </w:r>
      <w:r>
        <w:t xml:space="preserve">: </w:t>
      </w:r>
      <w:r>
        <w:tab/>
      </w:r>
      <w:r>
        <w:t>_</w:t>
      </w:r>
      <w:r>
        <w:rPr>
          <w:iCs/>
        </w:rPr>
        <w:t>_______________________________________</w:t>
      </w:r>
    </w:p>
    <w:p>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pPr>
        <w:tabs>
          <w:tab w:val="right" w:pos="6000"/>
          <w:tab w:val="right" w:pos="9360"/>
        </w:tabs>
        <w:spacing w:line="360" w:lineRule="auto"/>
        <w:ind w:right="660"/>
        <w:jc w:val="both"/>
      </w:pPr>
    </w:p>
    <w:p>
      <w:pPr>
        <w:tabs>
          <w:tab w:val="right" w:pos="6000"/>
          <w:tab w:val="right" w:pos="9360"/>
        </w:tabs>
        <w:spacing w:line="360" w:lineRule="auto"/>
        <w:ind w:right="660"/>
        <w:jc w:val="both"/>
      </w:pPr>
    </w:p>
    <w:p>
      <w:pPr>
        <w:jc w:val="center"/>
        <w:rPr>
          <w:b/>
          <w:bCs/>
          <w:sz w:val="28"/>
          <w:szCs w:val="28"/>
        </w:rPr>
      </w:pPr>
      <w:r>
        <w:rPr>
          <w:b/>
          <w:bCs/>
          <w:sz w:val="28"/>
          <w:szCs w:val="28"/>
        </w:rPr>
        <w:t>GARANŢIA DE BUNĂ EXECUŢIE</w:t>
      </w:r>
    </w:p>
    <w:p>
      <w:pPr>
        <w:jc w:val="center"/>
        <w:rPr>
          <w:i/>
          <w:iCs/>
          <w:sz w:val="28"/>
          <w:szCs w:val="28"/>
        </w:rPr>
      </w:pPr>
      <w:r>
        <w:rPr>
          <w:b/>
          <w:bCs/>
          <w:sz w:val="28"/>
          <w:szCs w:val="28"/>
        </w:rPr>
        <w:t xml:space="preserve">Nr. </w:t>
      </w:r>
      <w:r>
        <w:rPr>
          <w:i/>
          <w:iCs/>
          <w:sz w:val="28"/>
          <w:szCs w:val="28"/>
        </w:rPr>
        <w:t>_______________</w:t>
      </w:r>
    </w:p>
    <w:p>
      <w:pPr>
        <w:ind w:firstLine="720"/>
        <w:jc w:val="both"/>
      </w:pPr>
    </w:p>
    <w:p>
      <w:pPr>
        <w:ind w:firstLine="720"/>
        <w:jc w:val="both"/>
      </w:pPr>
    </w:p>
    <w:p>
      <w:pPr>
        <w:jc w:val="both"/>
      </w:pPr>
      <w:r>
        <w:t xml:space="preserve">Noi, </w:t>
      </w:r>
      <w:r>
        <w:rPr>
          <w:i/>
          <w:iCs/>
        </w:rPr>
        <w:t>[introduceţi numele legal şi adresa băncii],</w:t>
      </w:r>
      <w:r>
        <w:t xml:space="preserve"> am fost informaţi că firmei </w:t>
      </w:r>
      <w:r>
        <w:rPr>
          <w:i/>
          <w:iCs/>
        </w:rPr>
        <w:t>[introduceţi numele deplin al Furnizorului</w:t>
      </w:r>
      <w:r>
        <w:rPr>
          <w:rFonts w:hint="default"/>
          <w:i/>
          <w:iCs/>
        </w:rPr>
        <w:t>/Vînzătorului</w:t>
      </w:r>
      <w:r>
        <w:rPr>
          <w:i/>
          <w:iCs/>
        </w:rPr>
        <w:t>]</w:t>
      </w:r>
      <w:r>
        <w:t xml:space="preserve"> (numit în continuare „Furnizor</w:t>
      </w:r>
      <w:r>
        <w:rPr>
          <w:rFonts w:hint="default"/>
        </w:rPr>
        <w:t>/Vînzător</w:t>
      </w:r>
      <w:r>
        <w:t>”) i-a fost adjudecat Contractul de achiziție   de  livrare</w:t>
      </w:r>
      <w:r>
        <w:rPr>
          <w:rFonts w:hint="default"/>
        </w:rPr>
        <w:t>/vînzare</w:t>
      </w:r>
      <w:r>
        <w:t xml:space="preserve"> ______________ [</w:t>
      </w:r>
      <w:r>
        <w:rPr>
          <w:i/>
        </w:rPr>
        <w:t>obiectul achiziţiei,</w:t>
      </w:r>
      <w:r>
        <w:rPr>
          <w:i/>
          <w:iCs/>
        </w:rPr>
        <w:t xml:space="preserve"> descrieţi bunurile</w:t>
      </w:r>
      <w:r>
        <w:t xml:space="preserve">] conform invitaţiei la </w:t>
      </w:r>
      <w:r>
        <w:rPr>
          <w:bCs/>
          <w:lang w:val="zh-CN"/>
        </w:rPr>
        <w:t xml:space="preserve">procedura de achiziție </w:t>
      </w:r>
      <w:r>
        <w:t xml:space="preserve"> nr. din _________. 201_ [</w:t>
      </w:r>
      <w:r>
        <w:rPr>
          <w:i/>
        </w:rPr>
        <w:t xml:space="preserve">numărul şi data </w:t>
      </w:r>
      <w:r>
        <w:rPr>
          <w:bCs/>
          <w:i/>
          <w:lang w:val="zh-CN"/>
        </w:rPr>
        <w:t xml:space="preserve">procedurii de achiziție </w:t>
      </w:r>
      <w:r>
        <w:t xml:space="preserve">] (numit în continuare „Contract”). </w:t>
      </w:r>
    </w:p>
    <w:p>
      <w:pPr>
        <w:jc w:val="both"/>
      </w:pPr>
    </w:p>
    <w:p>
      <w:pPr>
        <w:jc w:val="both"/>
      </w:pPr>
      <w:r>
        <w:t>Prin urmare, noi înţelegem că Furnizorul</w:t>
      </w:r>
      <w:r>
        <w:rPr>
          <w:rFonts w:hint="default"/>
        </w:rPr>
        <w:t>/Vînzătorulo</w:t>
      </w:r>
      <w:r>
        <w:t xml:space="preserve"> trebuie să depună o Garanţie de bună execuţie în conformitate cu prevederile documentelor de atribuire.</w:t>
      </w:r>
    </w:p>
    <w:p>
      <w:pPr>
        <w:jc w:val="both"/>
      </w:pPr>
    </w:p>
    <w:p>
      <w:pPr>
        <w:jc w:val="both"/>
      </w:pPr>
      <w:r>
        <w:t>În urma solicitării Furnizorului</w:t>
      </w:r>
      <w:r>
        <w:rPr>
          <w:rFonts w:hint="default"/>
        </w:rPr>
        <w:t>/Vînzătorului</w:t>
      </w:r>
      <w:r>
        <w:t xml:space="preserve">,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w:t>
      </w:r>
      <w:r>
        <w:rPr>
          <w:rFonts w:hint="default"/>
          <w:iCs/>
        </w:rPr>
        <w:t xml:space="preserve">/Vînzătorul </w:t>
      </w:r>
      <w:r>
        <w:rPr>
          <w:iCs/>
        </w:rPr>
        <w:t xml:space="preserve"> nu îndeplineşte una sau mai multe obligaţii conform Contractului, fără discuţii sau clarificări şi fără necesitatea de a demonstra sau arăta temeiurile sau motivele pentru cererea Dvs. sau pentru suma indicată în aceasta</w:t>
      </w:r>
      <w:r>
        <w:t>.</w:t>
      </w:r>
    </w:p>
    <w:p>
      <w:pPr>
        <w:jc w:val="both"/>
      </w:pPr>
    </w:p>
    <w:p>
      <w:pPr>
        <w:jc w:val="both"/>
      </w:pPr>
      <w:r>
        <w:t xml:space="preserve">Această Garanţie va expira nu mai tîrziu de </w:t>
      </w:r>
      <w:r>
        <w:rPr>
          <w:i/>
          <w:iCs/>
        </w:rPr>
        <w:t>[introduceţi numărul]</w:t>
      </w:r>
      <w:r>
        <w:t xml:space="preserve"> de la data de </w:t>
      </w:r>
      <w:r>
        <w:rPr>
          <w:i/>
          <w:iCs/>
        </w:rPr>
        <w:t>[introduceţi luna]</w:t>
      </w:r>
      <w:r>
        <w:t xml:space="preserve"> </w:t>
      </w:r>
      <w:r>
        <w:rPr>
          <w:i/>
          <w:iCs/>
        </w:rPr>
        <w:t>[introduceţi anul]</w:t>
      </w:r>
      <w:r>
        <w:t xml:space="preserve">, şi orice cerere de plată ce ţine de aceasta trebuie recepţionată de către noi la oficiu pînă la această dată inclusiv. </w:t>
      </w:r>
    </w:p>
    <w:p>
      <w:pPr>
        <w:tabs>
          <w:tab w:val="left" w:pos="3175"/>
        </w:tabs>
        <w:ind w:firstLine="720"/>
        <w:jc w:val="both"/>
        <w:rPr>
          <w:i/>
          <w:iCs/>
        </w:rPr>
      </w:pPr>
    </w:p>
    <w:p>
      <w:pPr>
        <w:tabs>
          <w:tab w:val="left" w:pos="3175"/>
        </w:tabs>
        <w:jc w:val="both"/>
        <w:rPr>
          <w:rFonts w:hint="default"/>
          <w:i/>
          <w:lang w:val="ro-RO"/>
        </w:rPr>
      </w:pPr>
      <w:r>
        <w:rPr>
          <w:i/>
        </w:rPr>
        <w:t>[semnăturile reprezentanţilor autorizaţi ai băncii şi ai Furnizorului</w:t>
      </w:r>
      <w:r>
        <w:rPr>
          <w:rFonts w:hint="default"/>
          <w:i/>
        </w:rPr>
        <w:t>/Vînzătorului</w:t>
      </w:r>
      <w:r>
        <w:rPr>
          <w:i/>
        </w:rPr>
        <w:t>]</w:t>
      </w:r>
    </w:p>
    <w:sectPr>
      <w:pgSz w:w="11906" w:h="16838"/>
      <w:pgMar w:top="1440" w:right="746" w:bottom="1440" w:left="156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EUAlbertina">
    <w:altName w:val="Times New Roman"/>
    <w:panose1 w:val="00000000000000000000"/>
    <w:charset w:val="00"/>
    <w:family w:val="roman"/>
    <w:pitch w:val="default"/>
    <w:sig w:usb0="00000000" w:usb1="00000000" w:usb2="00000000" w:usb3="00000000" w:csb0="00000001" w:csb1="00000000"/>
  </w:font>
  <w:font w:name="PMingLiU">
    <w:altName w:val="Microsoft JhengHei UI"/>
    <w:panose1 w:val="02010601000101010101"/>
    <w:charset w:val="88"/>
    <w:family w:val="roman"/>
    <w:pitch w:val="default"/>
    <w:sig w:usb0="00000000" w:usb1="00000000" w:usb2="00000016" w:usb3="00000000" w:csb0="00100001" w:csb1="00000000"/>
  </w:font>
  <w:font w:name="Symbol">
    <w:panose1 w:val="05050102010706020507"/>
    <w:charset w:val="02"/>
    <w:family w:val="roman"/>
    <w:pitch w:val="default"/>
    <w:sig w:usb0="00000000" w:usb1="00000000" w:usb2="00000000" w:usb3="00000000" w:csb0="80000000" w:csb1="00000000"/>
  </w:font>
  <w:font w:name="Microsoft JhengHei UI">
    <w:panose1 w:val="020B0604030504040204"/>
    <w:charset w:val="88"/>
    <w:family w:val="auto"/>
    <w:pitch w:val="default"/>
    <w:sig w:usb0="000002A7" w:usb1="28CF4400" w:usb2="00000016" w:usb3="00000000" w:csb0="00100009"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35D4E"/>
    <w:multiLevelType w:val="multilevel"/>
    <w:tmpl w:val="06535D4E"/>
    <w:lvl w:ilvl="0" w:tentative="0">
      <w:start w:val="1"/>
      <w:numFmt w:val="lowerLetter"/>
      <w:lvlText w:val="%1)"/>
      <w:lvlJc w:val="left"/>
      <w:pPr>
        <w:ind w:left="90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79F1FF5"/>
    <w:multiLevelType w:val="multilevel"/>
    <w:tmpl w:val="079F1FF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8C93E5A"/>
    <w:multiLevelType w:val="multilevel"/>
    <w:tmpl w:val="08C93E5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A9D56E1"/>
    <w:multiLevelType w:val="multilevel"/>
    <w:tmpl w:val="0A9D56E1"/>
    <w:lvl w:ilvl="0" w:tentative="0">
      <w:start w:val="1"/>
      <w:numFmt w:val="decimal"/>
      <w:lvlText w:val="%1."/>
      <w:lvlJc w:val="left"/>
      <w:pPr>
        <w:ind w:left="1470" w:hanging="870"/>
      </w:pPr>
      <w:rPr>
        <w:rFonts w:hint="default"/>
        <w:b/>
        <w:sz w:val="24"/>
      </w:rPr>
    </w:lvl>
    <w:lvl w:ilvl="1" w:tentative="0">
      <w:start w:val="1"/>
      <w:numFmt w:val="decimal"/>
      <w:isLgl/>
      <w:lvlText w:val="%1.%2."/>
      <w:lvlJc w:val="left"/>
      <w:pPr>
        <w:ind w:left="1153" w:hanging="585"/>
      </w:pPr>
      <w:rPr>
        <w:rFonts w:hint="default"/>
        <w:b w:val="0"/>
        <w:sz w:val="24"/>
        <w:szCs w:val="24"/>
        <w:lang w:val="en-US"/>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1647" w:hanging="1080"/>
      </w:pPr>
      <w:rPr>
        <w:rFonts w:hint="default"/>
      </w:rPr>
    </w:lvl>
    <w:lvl w:ilvl="6" w:tentative="0">
      <w:start w:val="1"/>
      <w:numFmt w:val="decimal"/>
      <w:isLgl/>
      <w:lvlText w:val="%1.%2.%3.%4.%5.%6.%7."/>
      <w:lvlJc w:val="left"/>
      <w:pPr>
        <w:ind w:left="2007" w:hanging="1440"/>
      </w:pPr>
      <w:rPr>
        <w:rFonts w:hint="default"/>
      </w:rPr>
    </w:lvl>
    <w:lvl w:ilvl="7" w:tentative="0">
      <w:start w:val="1"/>
      <w:numFmt w:val="decimal"/>
      <w:isLgl/>
      <w:lvlText w:val="%1.%2.%3.%4.%5.%6.%7.%8."/>
      <w:lvlJc w:val="left"/>
      <w:pPr>
        <w:ind w:left="2007" w:hanging="1440"/>
      </w:pPr>
      <w:rPr>
        <w:rFonts w:hint="default"/>
      </w:rPr>
    </w:lvl>
    <w:lvl w:ilvl="8" w:tentative="0">
      <w:start w:val="1"/>
      <w:numFmt w:val="decimal"/>
      <w:isLgl/>
      <w:lvlText w:val="%1.%2.%3.%4.%5.%6.%7.%8.%9."/>
      <w:lvlJc w:val="left"/>
      <w:pPr>
        <w:ind w:left="2367" w:hanging="1800"/>
      </w:pPr>
      <w:rPr>
        <w:rFonts w:hint="default"/>
      </w:rPr>
    </w:lvl>
  </w:abstractNum>
  <w:abstractNum w:abstractNumId="4">
    <w:nsid w:val="116A4BCF"/>
    <w:multiLevelType w:val="multilevel"/>
    <w:tmpl w:val="116A4BCF"/>
    <w:lvl w:ilvl="0" w:tentative="0">
      <w:start w:val="1"/>
      <w:numFmt w:val="lowerLetter"/>
      <w:lvlText w:val="%1)"/>
      <w:lvlJc w:val="left"/>
      <w:pPr>
        <w:ind w:left="720" w:hanging="360"/>
      </w:pPr>
    </w:lvl>
    <w:lvl w:ilvl="1" w:tentative="0">
      <w:start w:val="1"/>
      <w:numFmt w:val="lowerLetter"/>
      <w:lvlText w:val="%2)"/>
      <w:lvlJc w:val="left"/>
      <w:pPr>
        <w:ind w:left="1440" w:hanging="360"/>
      </w:pPr>
      <w:rPr>
        <w:rFonts w:hint="default"/>
      </w:rPr>
    </w:lvl>
    <w:lvl w:ilvl="2" w:tentative="0">
      <w:start w:val="1"/>
      <w:numFmt w:val="decimal"/>
      <w:lvlText w:val="%3."/>
      <w:lvlJc w:val="left"/>
      <w:pPr>
        <w:ind w:left="2340" w:hanging="360"/>
      </w:pPr>
      <w:rPr>
        <w:rFonts w:hint="default"/>
      </w:rPr>
    </w:lvl>
    <w:lvl w:ilvl="3" w:tentative="0">
      <w:start w:val="1"/>
      <w:numFmt w:val="upperLetter"/>
      <w:lvlText w:val="%4."/>
      <w:lvlJc w:val="left"/>
      <w:pPr>
        <w:ind w:left="2880" w:hanging="360"/>
      </w:pPr>
      <w:rPr>
        <w:rFonts w:hint="default"/>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A8D44F9"/>
    <w:multiLevelType w:val="multilevel"/>
    <w:tmpl w:val="1A8D44F9"/>
    <w:lvl w:ilvl="0" w:tentative="0">
      <w:start w:val="1"/>
      <w:numFmt w:val="lowerLetter"/>
      <w:lvlText w:val="%1."/>
      <w:lvlJc w:val="left"/>
      <w:pPr>
        <w:ind w:left="1470" w:hanging="870"/>
      </w:pPr>
      <w:rPr>
        <w:rFonts w:hint="default"/>
        <w:b w:val="0"/>
      </w:rPr>
    </w:lvl>
    <w:lvl w:ilvl="1" w:tentative="0">
      <w:start w:val="1"/>
      <w:numFmt w:val="decimal"/>
      <w:isLgl/>
      <w:lvlText w:val="%1.%2."/>
      <w:lvlJc w:val="left"/>
      <w:pPr>
        <w:ind w:left="1152" w:hanging="585"/>
      </w:pPr>
      <w:rPr>
        <w:rFonts w:hint="default"/>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1647" w:hanging="1080"/>
      </w:pPr>
      <w:rPr>
        <w:rFonts w:hint="default"/>
      </w:rPr>
    </w:lvl>
    <w:lvl w:ilvl="6" w:tentative="0">
      <w:start w:val="1"/>
      <w:numFmt w:val="decimal"/>
      <w:isLgl/>
      <w:lvlText w:val="%1.%2.%3.%4.%5.%6.%7."/>
      <w:lvlJc w:val="left"/>
      <w:pPr>
        <w:ind w:left="2007" w:hanging="1440"/>
      </w:pPr>
      <w:rPr>
        <w:rFonts w:hint="default"/>
      </w:rPr>
    </w:lvl>
    <w:lvl w:ilvl="7" w:tentative="0">
      <w:start w:val="1"/>
      <w:numFmt w:val="decimal"/>
      <w:isLgl/>
      <w:lvlText w:val="%1.%2.%3.%4.%5.%6.%7.%8."/>
      <w:lvlJc w:val="left"/>
      <w:pPr>
        <w:ind w:left="2007" w:hanging="1440"/>
      </w:pPr>
      <w:rPr>
        <w:rFonts w:hint="default"/>
      </w:rPr>
    </w:lvl>
    <w:lvl w:ilvl="8" w:tentative="0">
      <w:start w:val="1"/>
      <w:numFmt w:val="decimal"/>
      <w:isLgl/>
      <w:lvlText w:val="%1.%2.%3.%4.%5.%6.%7.%8.%9."/>
      <w:lvlJc w:val="left"/>
      <w:pPr>
        <w:ind w:left="2367" w:hanging="1800"/>
      </w:pPr>
      <w:rPr>
        <w:rFonts w:hint="default"/>
      </w:rPr>
    </w:lvl>
  </w:abstractNum>
  <w:abstractNum w:abstractNumId="6">
    <w:nsid w:val="23FB1A1B"/>
    <w:multiLevelType w:val="multilevel"/>
    <w:tmpl w:val="23FB1A1B"/>
    <w:lvl w:ilvl="0" w:tentative="0">
      <w:start w:val="1"/>
      <w:numFmt w:val="lowerLetter"/>
      <w:lvlText w:val="%1."/>
      <w:lvlJc w:val="left"/>
      <w:pPr>
        <w:ind w:left="1429" w:hanging="360"/>
      </w:pPr>
      <w:rPr>
        <w:sz w:val="24"/>
        <w:szCs w:val="24"/>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7">
    <w:nsid w:val="31C92CBA"/>
    <w:multiLevelType w:val="multilevel"/>
    <w:tmpl w:val="31C92CBA"/>
    <w:lvl w:ilvl="0" w:tentative="0">
      <w:start w:val="2"/>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8">
    <w:nsid w:val="34D10284"/>
    <w:multiLevelType w:val="multilevel"/>
    <w:tmpl w:val="34D10284"/>
    <w:lvl w:ilvl="0" w:tentative="0">
      <w:start w:val="1"/>
      <w:numFmt w:val="lowerLetter"/>
      <w:lvlText w:val="%1."/>
      <w:lvlJc w:val="left"/>
      <w:pPr>
        <w:ind w:left="1470" w:hanging="870"/>
      </w:pPr>
      <w:rPr>
        <w:rFonts w:hint="default"/>
        <w:b w:val="0"/>
      </w:rPr>
    </w:lvl>
    <w:lvl w:ilvl="1" w:tentative="0">
      <w:start w:val="1"/>
      <w:numFmt w:val="decimal"/>
      <w:isLgl/>
      <w:lvlText w:val="%1.%2."/>
      <w:lvlJc w:val="left"/>
      <w:pPr>
        <w:ind w:left="1152" w:hanging="585"/>
      </w:pPr>
      <w:rPr>
        <w:rFonts w:hint="default"/>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1647" w:hanging="1080"/>
      </w:pPr>
      <w:rPr>
        <w:rFonts w:hint="default"/>
      </w:rPr>
    </w:lvl>
    <w:lvl w:ilvl="6" w:tentative="0">
      <w:start w:val="1"/>
      <w:numFmt w:val="decimal"/>
      <w:isLgl/>
      <w:lvlText w:val="%1.%2.%3.%4.%5.%6.%7."/>
      <w:lvlJc w:val="left"/>
      <w:pPr>
        <w:ind w:left="2007" w:hanging="1440"/>
      </w:pPr>
      <w:rPr>
        <w:rFonts w:hint="default"/>
      </w:rPr>
    </w:lvl>
    <w:lvl w:ilvl="7" w:tentative="0">
      <w:start w:val="1"/>
      <w:numFmt w:val="decimal"/>
      <w:isLgl/>
      <w:lvlText w:val="%1.%2.%3.%4.%5.%6.%7.%8."/>
      <w:lvlJc w:val="left"/>
      <w:pPr>
        <w:ind w:left="2007" w:hanging="1440"/>
      </w:pPr>
      <w:rPr>
        <w:rFonts w:hint="default"/>
      </w:rPr>
    </w:lvl>
    <w:lvl w:ilvl="8" w:tentative="0">
      <w:start w:val="1"/>
      <w:numFmt w:val="decimal"/>
      <w:isLgl/>
      <w:lvlText w:val="%1.%2.%3.%4.%5.%6.%7.%8.%9."/>
      <w:lvlJc w:val="left"/>
      <w:pPr>
        <w:ind w:left="2367" w:hanging="1800"/>
      </w:pPr>
      <w:rPr>
        <w:rFonts w:hint="default"/>
      </w:rPr>
    </w:lvl>
  </w:abstractNum>
  <w:abstractNum w:abstractNumId="9">
    <w:nsid w:val="48732F28"/>
    <w:multiLevelType w:val="multilevel"/>
    <w:tmpl w:val="48732F28"/>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0">
    <w:nsid w:val="49F91578"/>
    <w:multiLevelType w:val="multilevel"/>
    <w:tmpl w:val="49F9157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D22313C"/>
    <w:multiLevelType w:val="multilevel"/>
    <w:tmpl w:val="5D22313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464"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E842CF2"/>
    <w:multiLevelType w:val="multilevel"/>
    <w:tmpl w:val="5E842CF2"/>
    <w:lvl w:ilvl="0" w:tentative="0">
      <w:start w:val="1"/>
      <w:numFmt w:val="lowerLetter"/>
      <w:lvlText w:val="%1."/>
      <w:lvlJc w:val="left"/>
      <w:pPr>
        <w:ind w:left="928"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0072879"/>
    <w:multiLevelType w:val="multilevel"/>
    <w:tmpl w:val="6007287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2897BAE"/>
    <w:multiLevelType w:val="multilevel"/>
    <w:tmpl w:val="62897BAE"/>
    <w:lvl w:ilvl="0" w:tentative="0">
      <w:start w:val="1"/>
      <w:numFmt w:val="upperRoman"/>
      <w:pStyle w:val="2"/>
      <w:lvlText w:val="%1."/>
      <w:lvlJc w:val="right"/>
      <w:pPr>
        <w:ind w:left="720" w:hanging="360"/>
      </w:pPr>
    </w:lvl>
    <w:lvl w:ilvl="1" w:tentative="0">
      <w:start w:val="1"/>
      <w:numFmt w:val="decimal"/>
      <w:lvlText w:val="%2."/>
      <w:lvlJc w:val="left"/>
      <w:pPr>
        <w:ind w:left="1440" w:hanging="360"/>
      </w:pPr>
      <w:rPr>
        <w:rFonts w:hint="default"/>
        <w:b/>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F507C5D"/>
    <w:multiLevelType w:val="multilevel"/>
    <w:tmpl w:val="7F507C5D"/>
    <w:lvl w:ilvl="0" w:tentative="0">
      <w:start w:val="1"/>
      <w:numFmt w:val="decimal"/>
      <w:pStyle w:val="3"/>
      <w:lvlText w:val="%1."/>
      <w:lvlJc w:val="left"/>
      <w:pPr>
        <w:ind w:left="360" w:hanging="360"/>
      </w:pPr>
      <w:rPr>
        <w:b/>
      </w:rPr>
    </w:lvl>
    <w:lvl w:ilvl="1" w:tentative="0">
      <w:start w:val="1"/>
      <w:numFmt w:val="decimal"/>
      <w:lvlText w:val="%2."/>
      <w:lvlJc w:val="left"/>
      <w:pPr>
        <w:ind w:left="1080" w:hanging="360"/>
      </w:pPr>
    </w:lvl>
    <w:lvl w:ilvl="2" w:tentative="0">
      <w:start w:val="1"/>
      <w:numFmt w:val="lowerLetter"/>
      <w:lvlText w:val="%3)"/>
      <w:lvlJc w:val="left"/>
      <w:pPr>
        <w:ind w:left="1980" w:hanging="360"/>
      </w:pPr>
      <w:rPr>
        <w:rFonts w:hint="default"/>
      </w:r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6">
    <w:nsid w:val="7F983C1C"/>
    <w:multiLevelType w:val="multilevel"/>
    <w:tmpl w:val="7F983C1C"/>
    <w:lvl w:ilvl="0" w:tentative="0">
      <w:start w:val="1"/>
      <w:numFmt w:val="lowerLetter"/>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num w:numId="1">
    <w:abstractNumId w:val="14"/>
  </w:num>
  <w:num w:numId="2">
    <w:abstractNumId w:val="15"/>
  </w:num>
  <w:num w:numId="3">
    <w:abstractNumId w:val="3"/>
  </w:num>
  <w:num w:numId="4">
    <w:abstractNumId w:val="11"/>
  </w:num>
  <w:num w:numId="5">
    <w:abstractNumId w:val="5"/>
  </w:num>
  <w:num w:numId="6">
    <w:abstractNumId w:val="8"/>
  </w:num>
  <w:num w:numId="7">
    <w:abstractNumId w:val="0"/>
  </w:num>
  <w:num w:numId="8">
    <w:abstractNumId w:val="12"/>
  </w:num>
  <w:num w:numId="9">
    <w:abstractNumId w:val="6"/>
  </w:num>
  <w:num w:numId="10">
    <w:abstractNumId w:val="9"/>
  </w:num>
  <w:num w:numId="11">
    <w:abstractNumId w:val="2"/>
  </w:num>
  <w:num w:numId="12">
    <w:abstractNumId w:val="1"/>
  </w:num>
  <w:num w:numId="13">
    <w:abstractNumId w:val="10"/>
  </w:num>
  <w:num w:numId="14">
    <w:abstractNumId w:val="7"/>
  </w:num>
  <w:num w:numId="15">
    <w:abstractNumId w:val="13"/>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B7CE5"/>
    <w:rsid w:val="028A7269"/>
    <w:rsid w:val="0A943B2A"/>
    <w:rsid w:val="13947793"/>
    <w:rsid w:val="14123917"/>
    <w:rsid w:val="141C196C"/>
    <w:rsid w:val="19660D17"/>
    <w:rsid w:val="19AC60B2"/>
    <w:rsid w:val="1FB43B45"/>
    <w:rsid w:val="24756040"/>
    <w:rsid w:val="2C512D64"/>
    <w:rsid w:val="43AF4BAF"/>
    <w:rsid w:val="441B7CE5"/>
    <w:rsid w:val="47D65211"/>
    <w:rsid w:val="48FC4E9A"/>
    <w:rsid w:val="55EA00DD"/>
    <w:rsid w:val="61943F71"/>
    <w:rsid w:val="68632714"/>
    <w:rsid w:val="692C36B2"/>
    <w:rsid w:val="69DC5C23"/>
    <w:rsid w:val="6C0307E4"/>
    <w:rsid w:val="753171AE"/>
    <w:rsid w:val="7E1A1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en-US" w:bidi="ar-SA"/>
    </w:rPr>
  </w:style>
  <w:style w:type="paragraph" w:styleId="2">
    <w:name w:val="heading 1"/>
    <w:basedOn w:val="3"/>
    <w:next w:val="1"/>
    <w:qFormat/>
    <w:uiPriority w:val="0"/>
    <w:pPr>
      <w:numPr>
        <w:ilvl w:val="0"/>
        <w:numId w:val="1"/>
      </w:numPr>
      <w:tabs>
        <w:tab w:val="left" w:pos="1134"/>
      </w:tabs>
      <w:jc w:val="center"/>
      <w:outlineLvl w:val="0"/>
    </w:pPr>
    <w:rPr>
      <w:b/>
    </w:rPr>
  </w:style>
  <w:style w:type="paragraph" w:styleId="4">
    <w:name w:val="heading 2"/>
    <w:basedOn w:val="1"/>
    <w:next w:val="1"/>
    <w:unhideWhenUsed/>
    <w:qFormat/>
    <w:uiPriority w:val="0"/>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5">
    <w:name w:val="heading 3"/>
    <w:basedOn w:val="1"/>
    <w:next w:val="1"/>
    <w:unhideWhenUsed/>
    <w:qFormat/>
    <w:uiPriority w:val="0"/>
    <w:pPr>
      <w:keepNext/>
      <w:keepLines/>
      <w:spacing w:before="200"/>
      <w:outlineLvl w:val="2"/>
    </w:pPr>
    <w:rPr>
      <w:rFonts w:asciiTheme="majorHAnsi" w:hAnsiTheme="majorHAnsi" w:eastAsiaTheme="majorEastAsia" w:cstheme="majorBidi"/>
      <w:b/>
      <w:bCs/>
      <w:color w:val="5B9BD5" w:themeColor="accent1"/>
      <w14:textFill>
        <w14:solidFill>
          <w14:schemeClr w14:val="accent1"/>
        </w14:solidFill>
      </w14:textFill>
    </w:rPr>
  </w:style>
  <w:style w:type="character" w:default="1" w:styleId="6">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List Paragraph"/>
    <w:basedOn w:val="1"/>
    <w:qFormat/>
    <w:uiPriority w:val="34"/>
    <w:pPr>
      <w:numPr>
        <w:ilvl w:val="0"/>
        <w:numId w:val="2"/>
      </w:numPr>
      <w:tabs>
        <w:tab w:val="left" w:pos="1134"/>
      </w:tabs>
      <w:jc w:val="both"/>
    </w:pPr>
    <w:rPr>
      <w:lang w:val="en-US"/>
    </w:rPr>
  </w:style>
  <w:style w:type="character" w:styleId="8">
    <w:name w:val="footnote reference"/>
    <w:qFormat/>
    <w:uiPriority w:val="0"/>
    <w:rPr>
      <w:vertAlign w:val="superscript"/>
    </w:rPr>
  </w:style>
  <w:style w:type="paragraph" w:styleId="9">
    <w:name w:val="footnote text"/>
    <w:basedOn w:val="1"/>
    <w:qFormat/>
    <w:uiPriority w:val="0"/>
    <w:pPr>
      <w:jc w:val="both"/>
    </w:pPr>
    <w:rPr>
      <w:sz w:val="20"/>
      <w:szCs w:val="20"/>
      <w:lang w:val="en-US"/>
    </w:rPr>
  </w:style>
  <w:style w:type="paragraph" w:styleId="10">
    <w:name w:val="footer"/>
    <w:basedOn w:val="1"/>
    <w:qFormat/>
    <w:uiPriority w:val="0"/>
    <w:pPr>
      <w:tabs>
        <w:tab w:val="center" w:pos="4536"/>
        <w:tab w:val="right" w:pos="9072"/>
      </w:tabs>
    </w:pPr>
  </w:style>
  <w:style w:type="paragraph" w:styleId="11">
    <w:name w:val="Normal (Web)"/>
    <w:basedOn w:val="1"/>
    <w:unhideWhenUsed/>
    <w:qFormat/>
    <w:uiPriority w:val="99"/>
    <w:pPr>
      <w:ind w:firstLine="567"/>
      <w:jc w:val="both"/>
    </w:pPr>
    <w:rPr>
      <w:lang w:val="ru-RU" w:eastAsia="ru-RU"/>
    </w:rPr>
  </w:style>
  <w:style w:type="paragraph" w:customStyle="1" w:styleId="12">
    <w:name w:val="Default"/>
    <w:qFormat/>
    <w:uiPriority w:val="0"/>
    <w:pPr>
      <w:autoSpaceDE w:val="0"/>
      <w:autoSpaceDN w:val="0"/>
      <w:adjustRightInd w:val="0"/>
      <w:spacing w:after="0" w:line="240" w:lineRule="auto"/>
    </w:pPr>
    <w:rPr>
      <w:rFonts w:ascii="EUAlbertina" w:hAnsi="EUAlbertina" w:eastAsia="PMingLiU" w:cs="EUAlbertina"/>
      <w:color w:val="000000"/>
      <w:sz w:val="24"/>
      <w:szCs w:val="24"/>
      <w:lang w:val="en-US" w:eastAsia="zh-CN" w:bidi="ar-SA"/>
    </w:rPr>
  </w:style>
  <w:style w:type="paragraph" w:customStyle="1" w:styleId="13">
    <w:name w:val="Standard"/>
    <w:qFormat/>
    <w:uiPriority w:val="0"/>
    <w:pPr>
      <w:suppressAutoHyphens/>
      <w:autoSpaceDN w:val="0"/>
      <w:spacing w:after="200" w:line="276" w:lineRule="auto"/>
    </w:pPr>
    <w:rPr>
      <w:rFonts w:ascii="Calibri" w:hAnsi="Calibri" w:eastAsia="Calibri" w:cs="Calibri"/>
      <w:kern w:val="3"/>
      <w:sz w:val="22"/>
      <w:szCs w:val="22"/>
      <w:lang w:val="en-US" w:eastAsia="en-US" w:bidi="ar-SA"/>
    </w:rPr>
  </w:style>
  <w:style w:type="paragraph" w:customStyle="1" w:styleId="14">
    <w:name w:val="BankNormal"/>
    <w:basedOn w:val="1"/>
    <w:qFormat/>
    <w:uiPriority w:val="0"/>
    <w:pPr>
      <w:spacing w:after="240"/>
    </w:pPr>
    <w:rPr>
      <w:szCs w:val="20"/>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2021-01-27T05:52:00Z</dcterms:created>
  <dc:creator>Test</dc:creator>
  <cp:lastModifiedBy>Test</cp:lastModifiedBy>
  <dcterms:modified xsi:type="dcterms:W3CDTF">2021-06-07T12:25:14Z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1049-11.2.0.10130</vt:lpwstr>
  </property>
</Properties>
</file>