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300" w:lineRule="auto"/>
        <w:ind w:left="6200" w:leftChars="3100" w:firstLine="0" w:firstLineChars="0"/>
        <w:textAlignment w:val="auto"/>
        <w:rPr>
          <w:rFonts w:hint="default" w:ascii="Times New Roman" w:hAnsi="Times New Roman"/>
          <w:sz w:val="24"/>
          <w:szCs w:val="24"/>
        </w:rPr>
      </w:pPr>
      <w:r>
        <w:rPr>
          <w:color w:val="000000" w:themeColor="text1"/>
          <w:sz w:val="24"/>
          <w:highlight w:val="yellow"/>
          <w:lang w:val="ro-RO"/>
          <w14:textFill>
            <w14:solidFill>
              <w14:schemeClr w14:val="tx1"/>
            </w14:solidFill>
          </w14:textFill>
        </w:rPr>
        <w:drawing>
          <wp:anchor distT="0" distB="0" distL="114300" distR="114300" simplePos="0" relativeHeight="251660288" behindDoc="1" locked="0" layoutInCell="1" allowOverlap="1">
            <wp:simplePos x="0" y="0"/>
            <wp:positionH relativeFrom="margin">
              <wp:posOffset>-4445</wp:posOffset>
            </wp:positionH>
            <wp:positionV relativeFrom="page">
              <wp:posOffset>652780</wp:posOffset>
            </wp:positionV>
            <wp:extent cx="1429385" cy="1323340"/>
            <wp:effectExtent l="0" t="0" r="18415" b="10160"/>
            <wp:wrapNone/>
            <wp:docPr id="1" name="Рисунок 1" descr="LOGO CULO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LOGO CULORI"/>
                    <pic:cNvPicPr>
                      <a:picLocks noChangeAspect="1"/>
                    </pic:cNvPicPr>
                  </pic:nvPicPr>
                  <pic:blipFill>
                    <a:blip r:embed="rId5"/>
                    <a:stretch>
                      <a:fillRect/>
                    </a:stretch>
                  </pic:blipFill>
                  <pic:spPr>
                    <a:xfrm>
                      <a:off x="0" y="0"/>
                      <a:ext cx="1429385" cy="1323340"/>
                    </a:xfrm>
                    <a:prstGeom prst="rect">
                      <a:avLst/>
                    </a:prstGeom>
                    <a:noFill/>
                    <a:ln>
                      <a:noFill/>
                    </a:ln>
                  </pic:spPr>
                </pic:pic>
              </a:graphicData>
            </a:graphic>
          </wp:anchor>
        </w:drawing>
      </w:r>
      <w:r>
        <w:rPr>
          <w:rFonts w:hint="default" w:ascii="Times New Roman" w:hAnsi="Times New Roman"/>
          <w:b/>
          <w:bCs/>
          <w:sz w:val="24"/>
          <w:szCs w:val="24"/>
        </w:rPr>
        <w:t>APROB</w:t>
      </w:r>
    </w:p>
    <w:p>
      <w:pPr>
        <w:keepNext w:val="0"/>
        <w:keepLines w:val="0"/>
        <w:pageBreakBefore w:val="0"/>
        <w:widowControl/>
        <w:kinsoku/>
        <w:wordWrap/>
        <w:overflowPunct/>
        <w:topLinePunct w:val="0"/>
        <w:autoSpaceDE/>
        <w:autoSpaceDN/>
        <w:bidi w:val="0"/>
        <w:adjustRightInd/>
        <w:snapToGrid/>
        <w:spacing w:line="300" w:lineRule="auto"/>
        <w:ind w:left="6200" w:leftChars="3100" w:firstLine="0" w:firstLineChars="0"/>
        <w:textAlignment w:val="auto"/>
        <w:rPr>
          <w:rFonts w:hint="default" w:ascii="Times New Roman" w:hAnsi="Times New Roman"/>
          <w:sz w:val="24"/>
          <w:szCs w:val="24"/>
        </w:rPr>
      </w:pPr>
      <w:r>
        <w:rPr>
          <w:rFonts w:hint="default" w:ascii="Times New Roman" w:hAnsi="Times New Roman"/>
          <w:sz w:val="24"/>
          <w:szCs w:val="24"/>
        </w:rPr>
        <w:t>Director General al întreprinderii S.A. „CET-Nord”</w:t>
      </w:r>
    </w:p>
    <w:p>
      <w:pPr>
        <w:keepNext w:val="0"/>
        <w:keepLines w:val="0"/>
        <w:pageBreakBefore w:val="0"/>
        <w:widowControl/>
        <w:kinsoku/>
        <w:wordWrap/>
        <w:overflowPunct/>
        <w:topLinePunct w:val="0"/>
        <w:autoSpaceDE/>
        <w:autoSpaceDN/>
        <w:bidi w:val="0"/>
        <w:adjustRightInd/>
        <w:snapToGrid/>
        <w:spacing w:before="181" w:beforeLines="50" w:line="300" w:lineRule="auto"/>
        <w:ind w:left="6200" w:leftChars="3100" w:firstLine="0" w:firstLineChars="0"/>
        <w:textAlignment w:val="auto"/>
        <w:rPr>
          <w:rFonts w:hint="default" w:ascii="Times New Roman" w:hAnsi="Times New Roman"/>
          <w:sz w:val="24"/>
          <w:szCs w:val="24"/>
        </w:rPr>
      </w:pPr>
      <w:r>
        <w:rPr>
          <w:rFonts w:hint="default" w:ascii="Times New Roman" w:hAnsi="Times New Roman"/>
          <w:sz w:val="24"/>
          <w:szCs w:val="24"/>
        </w:rPr>
        <w:t>______________ Marian BRÎNZA</w:t>
      </w:r>
    </w:p>
    <w:p>
      <w:pPr>
        <w:keepNext w:val="0"/>
        <w:keepLines w:val="0"/>
        <w:pageBreakBefore w:val="0"/>
        <w:widowControl/>
        <w:kinsoku/>
        <w:wordWrap/>
        <w:overflowPunct/>
        <w:topLinePunct w:val="0"/>
        <w:autoSpaceDE/>
        <w:autoSpaceDN/>
        <w:bidi w:val="0"/>
        <w:adjustRightInd/>
        <w:snapToGrid/>
        <w:spacing w:line="300" w:lineRule="auto"/>
        <w:ind w:left="6200" w:leftChars="3100" w:firstLine="0" w:firstLineChars="0"/>
        <w:textAlignment w:val="auto"/>
        <w:rPr>
          <w:rFonts w:hint="default" w:ascii="Times New Roman" w:hAnsi="Times New Roman" w:cs="Times New Roman"/>
          <w:sz w:val="24"/>
          <w:szCs w:val="24"/>
        </w:rPr>
      </w:pPr>
      <w:r>
        <w:rPr>
          <w:rFonts w:hint="default" w:ascii="Times New Roman" w:hAnsi="Times New Roman"/>
          <w:sz w:val="24"/>
          <w:szCs w:val="24"/>
        </w:rPr>
        <w:t>”_____” _______________ 2026</w:t>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jc w:val="center"/>
        <w:rPr>
          <w:rFonts w:hint="default" w:ascii="Times New Roman" w:hAnsi="Times New Roman" w:cs="Times New Roman"/>
          <w:b/>
          <w:bCs/>
          <w:sz w:val="24"/>
          <w:szCs w:val="24"/>
        </w:rPr>
      </w:pPr>
      <w:r>
        <w:rPr>
          <w:rFonts w:hint="default" w:ascii="Times New Roman" w:hAnsi="Times New Roman"/>
          <w:b/>
          <w:bCs/>
          <w:sz w:val="24"/>
          <w:szCs w:val="24"/>
        </w:rPr>
        <w:t>CAIET DE SARCINI</w:t>
      </w:r>
    </w:p>
    <w:p>
      <w:pPr>
        <w:rPr>
          <w:rFonts w:hint="default" w:ascii="Times New Roman" w:hAnsi="Times New Roman" w:cs="Times New Roman"/>
          <w:sz w:val="24"/>
          <w:szCs w:val="24"/>
        </w:rPr>
      </w:pPr>
    </w:p>
    <w:p>
      <w:pPr>
        <w:keepNext w:val="0"/>
        <w:keepLines w:val="0"/>
        <w:pageBreakBefore w:val="0"/>
        <w:widowControl/>
        <w:kinsoku/>
        <w:wordWrap/>
        <w:overflowPunct/>
        <w:topLinePunct w:val="0"/>
        <w:autoSpaceDE/>
        <w:autoSpaceDN/>
        <w:bidi w:val="0"/>
        <w:adjustRightInd/>
        <w:snapToGrid/>
        <w:spacing w:line="336" w:lineRule="auto"/>
        <w:textAlignment w:val="auto"/>
        <w:rPr>
          <w:rFonts w:hint="default" w:ascii="Times New Roman" w:hAnsi="Times New Roman" w:cs="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Obiectul achiziției: Armătură de secționare (de blocare, de reglare, de siguranță)</w:t>
      </w:r>
    </w:p>
    <w:p>
      <w:pPr>
        <w:keepNext w:val="0"/>
        <w:keepLines w:val="0"/>
        <w:pageBreakBefore w:val="0"/>
        <w:widowControl/>
        <w:kinsoku/>
        <w:wordWrap/>
        <w:overflowPunct/>
        <w:topLinePunct w:val="0"/>
        <w:autoSpaceDE/>
        <w:autoSpaceDN/>
        <w:bidi w:val="0"/>
        <w:adjustRightInd/>
        <w:snapToGrid/>
        <w:spacing w:line="336" w:lineRule="auto"/>
        <w:textAlignment w:val="auto"/>
        <w:rPr>
          <w:rFonts w:hint="default" w:ascii="Times New Roman" w:hAnsi="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Cod CPV: 42130000-9</w:t>
      </w:r>
    </w:p>
    <w:p>
      <w:pPr>
        <w:keepNext w:val="0"/>
        <w:keepLines w:val="0"/>
        <w:pageBreakBefore w:val="0"/>
        <w:widowControl/>
        <w:kinsoku/>
        <w:wordWrap/>
        <w:overflowPunct/>
        <w:topLinePunct w:val="0"/>
        <w:autoSpaceDE/>
        <w:autoSpaceDN/>
        <w:bidi w:val="0"/>
        <w:adjustRightInd/>
        <w:snapToGrid/>
        <w:spacing w:line="336" w:lineRule="auto"/>
        <w:textAlignment w:val="auto"/>
        <w:rPr>
          <w:rFonts w:hint="default" w:ascii="Times New Roman" w:hAnsi="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Entitatea contractantă: S.A. „CET-Nord”, mun. Bălţi, str. Ştefan cel Mare, 168</w:t>
      </w:r>
    </w:p>
    <w:p>
      <w:pPr>
        <w:rPr>
          <w:rFonts w:hint="default" w:ascii="Times New Roman" w:hAnsi="Times New Roman"/>
          <w:color w:val="000000" w:themeColor="text1"/>
          <w:sz w:val="24"/>
          <w:szCs w:val="24"/>
          <w14:textFill>
            <w14:solidFill>
              <w14:schemeClr w14:val="tx1"/>
            </w14:solidFill>
          </w14:textFill>
        </w:rPr>
      </w:pPr>
    </w:p>
    <w:p>
      <w:pPr>
        <w:keepNext w:val="0"/>
        <w:keepLines w:val="0"/>
        <w:pageBreakBefore w:val="0"/>
        <w:widowControl/>
        <w:numPr>
          <w:ilvl w:val="0"/>
          <w:numId w:val="1"/>
        </w:numPr>
        <w:kinsoku/>
        <w:wordWrap/>
        <w:overflowPunct/>
        <w:topLinePunct w:val="0"/>
        <w:autoSpaceDE/>
        <w:autoSpaceDN/>
        <w:bidi w:val="0"/>
        <w:adjustRightInd/>
        <w:snapToGrid/>
        <w:spacing w:line="252" w:lineRule="auto"/>
        <w:ind w:left="0" w:leftChars="0" w:firstLine="482" w:firstLineChars="200"/>
        <w:textAlignment w:val="auto"/>
        <w:rPr>
          <w:rFonts w:hint="default" w:ascii="Times New Roman" w:hAnsi="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Introducere</w:t>
      </w:r>
    </w:p>
    <w:p>
      <w:pPr>
        <w:keepNext w:val="0"/>
        <w:keepLines w:val="0"/>
        <w:pageBreakBefore w:val="0"/>
        <w:widowControl/>
        <w:numPr>
          <w:ilvl w:val="0"/>
          <w:numId w:val="0"/>
        </w:numPr>
        <w:kinsoku/>
        <w:wordWrap/>
        <w:overflowPunct/>
        <w:topLinePunct w:val="0"/>
        <w:autoSpaceDE/>
        <w:autoSpaceDN/>
        <w:bidi w:val="0"/>
        <w:adjustRightInd/>
        <w:snapToGrid/>
        <w:spacing w:line="281"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Caietul de sarcini este parte integrantă din documentaţia pentru atribuirea contractului şi constituie ansamblul cerinţelor pe baza cărora fiecare ofertant va elabora propunerea tehnică și financiară.</w:t>
      </w:r>
    </w:p>
    <w:p>
      <w:pPr>
        <w:keepNext w:val="0"/>
        <w:keepLines w:val="0"/>
        <w:pageBreakBefore w:val="0"/>
        <w:widowControl/>
        <w:numPr>
          <w:ilvl w:val="0"/>
          <w:numId w:val="0"/>
        </w:numPr>
        <w:kinsoku/>
        <w:wordWrap/>
        <w:overflowPunct/>
        <w:topLinePunct w:val="0"/>
        <w:autoSpaceDE/>
        <w:autoSpaceDN/>
        <w:bidi w:val="0"/>
        <w:adjustRightInd/>
        <w:snapToGrid/>
        <w:spacing w:line="281"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Caietul de sarcini conţine specificaţii tehnice, care vor fi considerate ca fiind minimale şi obligatorii. În acest sens, orice ofertă prezentată, care se abate de la prevederile Caietului de sarcini, va fi luată în considerare, dar numai în măsura în care propunerea tehnică presupune asigurarea unui nivel calitativ superior cerinţelor minimale din Caietul de sarcini. Ofertele care nu satisfac cerinţele caietului de sarcini vor fi declarate oferte neconforme şi vor fi respinse.</w:t>
      </w:r>
    </w:p>
    <w:p>
      <w:pPr>
        <w:keepNext w:val="0"/>
        <w:keepLines w:val="0"/>
        <w:pageBreakBefore w:val="0"/>
        <w:widowControl/>
        <w:numPr>
          <w:ilvl w:val="0"/>
          <w:numId w:val="0"/>
        </w:numPr>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p>
    <w:p>
      <w:pPr>
        <w:keepNext w:val="0"/>
        <w:keepLines w:val="0"/>
        <w:pageBreakBefore w:val="0"/>
        <w:widowControl/>
        <w:numPr>
          <w:ilvl w:val="0"/>
          <w:numId w:val="1"/>
        </w:numPr>
        <w:kinsoku/>
        <w:wordWrap/>
        <w:overflowPunct/>
        <w:topLinePunct w:val="0"/>
        <w:autoSpaceDE/>
        <w:autoSpaceDN/>
        <w:bidi w:val="0"/>
        <w:adjustRightInd/>
        <w:snapToGrid/>
        <w:spacing w:line="252" w:lineRule="auto"/>
        <w:ind w:left="0" w:leftChars="0" w:firstLine="482" w:firstLineChars="200"/>
        <w:textAlignment w:val="auto"/>
        <w:rPr>
          <w:rFonts w:hint="default" w:ascii="Times New Roman" w:hAnsi="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Scopul achiziției</w:t>
      </w:r>
    </w:p>
    <w:p>
      <w:pPr>
        <w:keepNext w:val="0"/>
        <w:keepLines w:val="0"/>
        <w:pageBreakBefore w:val="0"/>
        <w:widowControl/>
        <w:numPr>
          <w:ilvl w:val="0"/>
          <w:numId w:val="0"/>
        </w:numPr>
        <w:kinsoku/>
        <w:wordWrap/>
        <w:overflowPunct/>
        <w:topLinePunct w:val="0"/>
        <w:autoSpaceDE/>
        <w:autoSpaceDN/>
        <w:bidi w:val="0"/>
        <w:adjustRightInd/>
        <w:snapToGrid/>
        <w:spacing w:line="281" w:lineRule="auto"/>
        <w:ind w:firstLine="480" w:firstLineChars="200"/>
        <w:jc w:val="both"/>
        <w:textAlignment w:val="auto"/>
        <w:rPr>
          <w:rFonts w:hint="default" w:ascii="Times New Roman" w:hAnsi="Times New Roman"/>
          <w:b w:val="0"/>
          <w:bCs w:val="0"/>
          <w:color w:val="000000" w:themeColor="text1"/>
          <w:sz w:val="24"/>
          <w:szCs w:val="24"/>
          <w:highlight w:val="none"/>
          <w14:textFill>
            <w14:solidFill>
              <w14:schemeClr w14:val="tx1"/>
            </w14:solidFill>
          </w14:textFill>
        </w:rPr>
      </w:pPr>
      <w:r>
        <w:rPr>
          <w:rFonts w:hint="default" w:ascii="Times New Roman" w:hAnsi="Times New Roman"/>
          <w:b w:val="0"/>
          <w:bCs w:val="0"/>
          <w:color w:val="000000" w:themeColor="text1"/>
          <w:sz w:val="24"/>
          <w:szCs w:val="24"/>
          <w:highlight w:val="none"/>
          <w14:textFill>
            <w14:solidFill>
              <w14:schemeClr w14:val="tx1"/>
            </w14:solidFill>
          </w14:textFill>
        </w:rPr>
        <w:t>Scopul prezentei achiziții constă în asigurarea necesarului de armătură de secționare, destinată exploatării instalațiilor, rețelelor și echipamentelor energetice utilizate la producerea, transportul și distribuția agentului termic.</w:t>
      </w:r>
    </w:p>
    <w:p>
      <w:pPr>
        <w:keepNext w:val="0"/>
        <w:keepLines w:val="0"/>
        <w:pageBreakBefore w:val="0"/>
        <w:widowControl/>
        <w:numPr>
          <w:ilvl w:val="0"/>
          <w:numId w:val="0"/>
        </w:numPr>
        <w:kinsoku/>
        <w:wordWrap/>
        <w:overflowPunct/>
        <w:topLinePunct w:val="0"/>
        <w:autoSpaceDE/>
        <w:autoSpaceDN/>
        <w:bidi w:val="0"/>
        <w:adjustRightInd/>
        <w:snapToGrid/>
        <w:spacing w:line="281" w:lineRule="auto"/>
        <w:ind w:firstLine="480" w:firstLineChars="200"/>
        <w:jc w:val="both"/>
        <w:textAlignment w:val="auto"/>
        <w:rPr>
          <w:rFonts w:hint="default" w:ascii="Times New Roman" w:hAnsi="Times New Roman"/>
          <w:b w:val="0"/>
          <w:bCs w:val="0"/>
          <w:color w:val="000000" w:themeColor="text1"/>
          <w:sz w:val="24"/>
          <w:szCs w:val="24"/>
          <w:highlight w:val="none"/>
          <w14:textFill>
            <w14:solidFill>
              <w14:schemeClr w14:val="tx1"/>
            </w14:solidFill>
          </w14:textFill>
        </w:rPr>
      </w:pPr>
      <w:r>
        <w:rPr>
          <w:rFonts w:hint="default" w:ascii="Times New Roman" w:hAnsi="Times New Roman"/>
          <w:b w:val="0"/>
          <w:bCs w:val="0"/>
          <w:color w:val="000000" w:themeColor="text1"/>
          <w:sz w:val="24"/>
          <w:szCs w:val="24"/>
          <w:highlight w:val="none"/>
          <w14:textFill>
            <w14:solidFill>
              <w14:schemeClr w14:val="tx1"/>
            </w14:solidFill>
          </w14:textFill>
        </w:rPr>
        <w:t>Bunurile ce fac obiectul procedurii de achiziție vor fi utilizate atât pentru înlocuirea armăturii uzate, defectate sau necorespunzătoare din punct de vedere tehnic, cât și pentru dotarea conductelor și instalațiilor noi ori modernizate, inclusiv a utilajelor, echipamentelor și instalațiilor sub presiune, în scopul asigurării funcțiilor de închidere, reglare, control și protecție.</w:t>
      </w:r>
    </w:p>
    <w:p>
      <w:pPr>
        <w:keepNext w:val="0"/>
        <w:keepLines w:val="0"/>
        <w:pageBreakBefore w:val="0"/>
        <w:widowControl/>
        <w:numPr>
          <w:ilvl w:val="0"/>
          <w:numId w:val="0"/>
        </w:numPr>
        <w:kinsoku/>
        <w:wordWrap/>
        <w:overflowPunct/>
        <w:topLinePunct w:val="0"/>
        <w:autoSpaceDE/>
        <w:autoSpaceDN/>
        <w:bidi w:val="0"/>
        <w:adjustRightInd/>
        <w:snapToGrid/>
        <w:spacing w:line="281" w:lineRule="auto"/>
        <w:ind w:firstLine="480" w:firstLineChars="200"/>
        <w:jc w:val="both"/>
        <w:textAlignment w:val="auto"/>
        <w:rPr>
          <w:rFonts w:hint="default" w:ascii="Times New Roman" w:hAnsi="Times New Roman"/>
          <w:b w:val="0"/>
          <w:bCs w:val="0"/>
          <w:color w:val="000000" w:themeColor="text1"/>
          <w:sz w:val="24"/>
          <w:szCs w:val="24"/>
          <w:highlight w:val="none"/>
          <w14:textFill>
            <w14:solidFill>
              <w14:schemeClr w14:val="tx1"/>
            </w14:solidFill>
          </w14:textFill>
        </w:rPr>
      </w:pPr>
      <w:r>
        <w:rPr>
          <w:rFonts w:hint="default" w:ascii="Times New Roman" w:hAnsi="Times New Roman"/>
          <w:b w:val="0"/>
          <w:bCs w:val="0"/>
          <w:color w:val="000000" w:themeColor="text1"/>
          <w:sz w:val="24"/>
          <w:szCs w:val="24"/>
          <w:highlight w:val="none"/>
          <w14:textFill>
            <w14:solidFill>
              <w14:schemeClr w14:val="tx1"/>
            </w14:solidFill>
          </w14:textFill>
        </w:rPr>
        <w:t>Prin realizarea achiziției se urmărește menținerea parametrilor tehnologici, proiectați prevenirea avariilor, reducerea pierderilor de agent termic și asigurarea funcționării sigure, fiabile și continue a sistemelor termoenergetice gestionate de S.A. „CET-Nord”.</w:t>
      </w:r>
    </w:p>
    <w:p>
      <w:pPr>
        <w:keepNext w:val="0"/>
        <w:keepLines w:val="0"/>
        <w:pageBreakBefore w:val="0"/>
        <w:widowControl/>
        <w:numPr>
          <w:ilvl w:val="0"/>
          <w:numId w:val="0"/>
        </w:numPr>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p>
    <w:p>
      <w:pPr>
        <w:keepNext w:val="0"/>
        <w:keepLines w:val="0"/>
        <w:pageBreakBefore w:val="0"/>
        <w:widowControl/>
        <w:numPr>
          <w:ilvl w:val="0"/>
          <w:numId w:val="1"/>
        </w:numPr>
        <w:kinsoku/>
        <w:wordWrap/>
        <w:overflowPunct/>
        <w:topLinePunct w:val="0"/>
        <w:autoSpaceDE/>
        <w:autoSpaceDN/>
        <w:bidi w:val="0"/>
        <w:adjustRightInd/>
        <w:snapToGrid/>
        <w:spacing w:line="252" w:lineRule="auto"/>
        <w:ind w:left="0" w:leftChars="0" w:firstLine="482" w:firstLineChars="200"/>
        <w:textAlignment w:val="auto"/>
        <w:rPr>
          <w:rFonts w:hint="default" w:ascii="Times New Roman" w:hAnsi="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Cerințe privind caracteristicile tehnice</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81"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Cerințe generale:</w:t>
      </w:r>
    </w:p>
    <w:p>
      <w:pPr>
        <w:keepNext w:val="0"/>
        <w:keepLines w:val="0"/>
        <w:pageBreakBefore w:val="0"/>
        <w:widowControl/>
        <w:numPr>
          <w:ilvl w:val="0"/>
          <w:numId w:val="2"/>
        </w:numPr>
        <w:kinsoku/>
        <w:wordWrap/>
        <w:overflowPunct/>
        <w:topLinePunct w:val="0"/>
        <w:autoSpaceDE/>
        <w:autoSpaceDN/>
        <w:bidi w:val="0"/>
        <w:adjustRightInd/>
        <w:snapToGrid/>
        <w:spacing w:line="281"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Toate cerințele tehnice sunt minimale și obligatorii. Toate bunurile ofertate trebuie să fie noi (neutilizate), de calitatea corespunzătoare și fără careva vicii, cu respectarea tuturor caracteristicile și cerințelor tehnice descrise în tabelul de mai jos.</w:t>
      </w:r>
    </w:p>
    <w:p>
      <w:pPr>
        <w:keepNext w:val="0"/>
        <w:keepLines w:val="0"/>
        <w:pageBreakBefore w:val="0"/>
        <w:widowControl/>
        <w:numPr>
          <w:ilvl w:val="0"/>
          <w:numId w:val="2"/>
        </w:numPr>
        <w:kinsoku/>
        <w:wordWrap/>
        <w:overflowPunct/>
        <w:topLinePunct w:val="0"/>
        <w:autoSpaceDE/>
        <w:autoSpaceDN/>
        <w:bidi w:val="0"/>
        <w:adjustRightInd/>
        <w:snapToGrid/>
        <w:spacing w:line="281"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Toate cheltuielile legate de rezolvarea unor defecțiuni apărute şi dovedite a fi urmare a neconformității produselor, conform prezentului Caiet de sarcini, cad în sarcina ofertantului. În măsura în care produsele nu corespund cerințelor, ofertantul va asigura înlocuirea acestora.</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81"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Bunurile care fac obiectul contractului de achiziție sunt prezentate în Tabelul nr. 1.</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textAlignment w:val="auto"/>
        <w:rPr>
          <w:rFonts w:hint="default" w:ascii="Times New Roman" w:hAnsi="Times New Roman"/>
          <w:b w:val="0"/>
          <w:bCs w:val="0"/>
          <w:color w:val="000000" w:themeColor="text1"/>
          <w:sz w:val="24"/>
          <w:szCs w:val="24"/>
          <w14:textFill>
            <w14:solidFill>
              <w14:schemeClr w14:val="tx1"/>
            </w14:solidFill>
          </w14:textFill>
        </w:rPr>
      </w:pPr>
    </w:p>
    <w:p>
      <w:pPr>
        <w:keepNext w:val="0"/>
        <w:keepLines w:val="0"/>
        <w:pageBreakBefore w:val="0"/>
        <w:widowControl/>
        <w:numPr>
          <w:ilvl w:val="0"/>
          <w:numId w:val="0"/>
        </w:numPr>
        <w:tabs>
          <w:tab w:val="left" w:pos="425"/>
        </w:tabs>
        <w:kinsoku/>
        <w:wordWrap/>
        <w:overflowPunct/>
        <w:topLinePunct w:val="0"/>
        <w:autoSpaceDE/>
        <w:autoSpaceDN/>
        <w:bidi w:val="0"/>
        <w:adjustRightInd/>
        <w:snapToGrid/>
        <w:jc w:val="right"/>
        <w:textAlignment w:val="auto"/>
        <w:rPr>
          <w:rFonts w:hint="default" w:ascii="Times New Roman" w:hAnsi="Times New Roman"/>
          <w:b/>
          <w:bCs/>
          <w:sz w:val="24"/>
          <w:szCs w:val="24"/>
        </w:rPr>
      </w:pPr>
      <w:r>
        <w:rPr>
          <w:rFonts w:hint="default" w:ascii="Times New Roman" w:hAnsi="Times New Roman"/>
          <w:b/>
          <w:bCs/>
          <w:sz w:val="24"/>
          <w:szCs w:val="24"/>
        </w:rPr>
        <w:t>Tabelul nr. 1</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jc w:val="center"/>
        <w:textAlignment w:val="auto"/>
        <w:rPr>
          <w:rFonts w:hint="default" w:ascii="Times New Roman" w:hAnsi="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Specificația tehnică a bunurilor solicitate</w:t>
      </w:r>
    </w:p>
    <w:tbl>
      <w:tblPr>
        <w:tblStyle w:val="6"/>
        <w:tblW w:w="965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3"/>
        <w:gridCol w:w="2529"/>
        <w:gridCol w:w="589"/>
        <w:gridCol w:w="761"/>
        <w:gridCol w:w="52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blHeader/>
        </w:trPr>
        <w:tc>
          <w:tcPr>
            <w:tcW w:w="543"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right="-57"/>
              <w:jc w:val="center"/>
              <w:textAlignment w:val="auto"/>
              <w:rPr>
                <w:rFonts w:ascii="Times New Roman" w:hAnsi="Times New Roman" w:eastAsia="Calibri" w:cs="Times New Roman"/>
                <w:b/>
                <w:color w:val="000000" w:themeColor="text1"/>
                <w:sz w:val="22"/>
                <w:szCs w:val="22"/>
                <w:highlight w:val="none"/>
                <w:lang w:val="ru-RU" w:eastAsia="en-US" w:bidi="ar-SA"/>
                <w14:textFill>
                  <w14:solidFill>
                    <w14:schemeClr w14:val="tx1"/>
                  </w14:solidFill>
                </w14:textFill>
              </w:rPr>
            </w:pPr>
            <w:bookmarkStart w:id="0" w:name="_Toc403472733"/>
            <w:r>
              <w:rPr>
                <w:rFonts w:ascii="Times New Roman" w:hAnsi="Times New Roman" w:eastAsia="Calibri" w:cs="Times New Roman"/>
                <w:b/>
                <w:color w:val="000000" w:themeColor="text1"/>
                <w:sz w:val="22"/>
                <w:szCs w:val="22"/>
                <w:highlight w:val="none"/>
                <w:lang w:val="ru-RU" w:eastAsia="en-US" w:bidi="ar-SA"/>
                <w14:textFill>
                  <w14:solidFill>
                    <w14:schemeClr w14:val="tx1"/>
                  </w14:solidFill>
                </w14:textFill>
              </w:rPr>
              <w:t>Nr. d/o</w:t>
            </w:r>
          </w:p>
        </w:tc>
        <w:tc>
          <w:tcPr>
            <w:tcW w:w="2529"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right="-57"/>
              <w:jc w:val="center"/>
              <w:textAlignment w:val="auto"/>
              <w:rPr>
                <w:rFonts w:hint="default" w:ascii="Times New Roman" w:hAnsi="Times New Roman" w:eastAsia="Calibri" w:cs="Times New Roman"/>
                <w:b/>
                <w:color w:val="000000" w:themeColor="text1"/>
                <w:sz w:val="22"/>
                <w:szCs w:val="22"/>
                <w:highlight w:val="none"/>
                <w:lang w:val="ro-RO" w:eastAsia="en-US" w:bidi="ar-SA"/>
                <w14:textFill>
                  <w14:solidFill>
                    <w14:schemeClr w14:val="tx1"/>
                  </w14:solidFill>
                </w14:textFill>
              </w:rPr>
            </w:pPr>
            <w:r>
              <w:rPr>
                <w:rFonts w:ascii="Times New Roman" w:hAnsi="Times New Roman" w:eastAsia="Calibri" w:cs="Times New Roman"/>
                <w:b/>
                <w:color w:val="000000" w:themeColor="text1"/>
                <w:sz w:val="22"/>
                <w:szCs w:val="22"/>
                <w:highlight w:val="none"/>
                <w:lang w:val="ru-RU" w:eastAsia="en-US" w:bidi="ar-SA"/>
                <w14:textFill>
                  <w14:solidFill>
                    <w14:schemeClr w14:val="tx1"/>
                  </w14:solidFill>
                </w14:textFill>
              </w:rPr>
              <w:t>Denumire bunu</w:t>
            </w:r>
            <w:r>
              <w:rPr>
                <w:rFonts w:hint="default" w:ascii="Times New Roman" w:hAnsi="Times New Roman" w:eastAsia="Calibri" w:cs="Times New Roman"/>
                <w:b/>
                <w:color w:val="000000" w:themeColor="text1"/>
                <w:sz w:val="22"/>
                <w:szCs w:val="22"/>
                <w:highlight w:val="none"/>
                <w:lang w:val="ro-RO" w:eastAsia="en-US" w:bidi="ar-SA"/>
                <w14:textFill>
                  <w14:solidFill>
                    <w14:schemeClr w14:val="tx1"/>
                  </w14:solidFill>
                </w14:textFill>
              </w:rPr>
              <w:t>lui</w:t>
            </w:r>
          </w:p>
        </w:tc>
        <w:tc>
          <w:tcPr>
            <w:tcW w:w="589"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right="-57"/>
              <w:jc w:val="center"/>
              <w:textAlignment w:val="auto"/>
              <w:rPr>
                <w:rFonts w:hint="default" w:ascii="Times New Roman" w:hAnsi="Times New Roman" w:eastAsia="Calibri" w:cs="Times New Roman"/>
                <w:b/>
                <w:color w:val="000000" w:themeColor="text1"/>
                <w:sz w:val="22"/>
                <w:szCs w:val="22"/>
                <w:highlight w:val="none"/>
                <w:lang w:val="ro-RO" w:eastAsia="en-US" w:bidi="ar-SA"/>
                <w14:textFill>
                  <w14:solidFill>
                    <w14:schemeClr w14:val="tx1"/>
                  </w14:solidFill>
                </w14:textFill>
              </w:rPr>
            </w:pPr>
            <w:r>
              <w:rPr>
                <w:rFonts w:ascii="Times New Roman" w:hAnsi="Times New Roman" w:eastAsia="Calibri" w:cs="Times New Roman"/>
                <w:b/>
                <w:color w:val="000000" w:themeColor="text1"/>
                <w:sz w:val="22"/>
                <w:szCs w:val="22"/>
                <w:highlight w:val="none"/>
                <w:lang w:val="ro-RO" w:eastAsia="en-US" w:bidi="ar-SA"/>
                <w14:textFill>
                  <w14:solidFill>
                    <w14:schemeClr w14:val="tx1"/>
                  </w14:solidFill>
                </w14:textFill>
              </w:rPr>
              <w:t>U</w:t>
            </w:r>
            <w:r>
              <w:rPr>
                <w:rFonts w:hint="default" w:ascii="Times New Roman" w:hAnsi="Times New Roman" w:eastAsia="Calibri" w:cs="Times New Roman"/>
                <w:b/>
                <w:color w:val="000000" w:themeColor="text1"/>
                <w:sz w:val="22"/>
                <w:szCs w:val="22"/>
                <w:highlight w:val="none"/>
                <w:lang w:val="ro-RO" w:eastAsia="en-US" w:bidi="ar-SA"/>
                <w14:textFill>
                  <w14:solidFill>
                    <w14:schemeClr w14:val="tx1"/>
                  </w14:solidFill>
                </w14:textFill>
              </w:rPr>
              <w:t>.</w:t>
            </w:r>
            <w:r>
              <w:rPr>
                <w:rFonts w:ascii="Times New Roman" w:hAnsi="Times New Roman" w:eastAsia="Calibri" w:cs="Times New Roman"/>
                <w:b/>
                <w:color w:val="000000" w:themeColor="text1"/>
                <w:sz w:val="22"/>
                <w:szCs w:val="22"/>
                <w:highlight w:val="none"/>
                <w:lang w:val="ro-RO" w:eastAsia="en-US" w:bidi="ar-SA"/>
                <w14:textFill>
                  <w14:solidFill>
                    <w14:schemeClr w14:val="tx1"/>
                  </w14:solidFill>
                </w14:textFill>
              </w:rPr>
              <w:t>M</w:t>
            </w:r>
            <w:r>
              <w:rPr>
                <w:rFonts w:hint="default" w:ascii="Times New Roman" w:hAnsi="Times New Roman" w:eastAsia="Calibri" w:cs="Times New Roman"/>
                <w:b/>
                <w:color w:val="000000" w:themeColor="text1"/>
                <w:sz w:val="22"/>
                <w:szCs w:val="22"/>
                <w:highlight w:val="none"/>
                <w:lang w:val="ro-RO" w:eastAsia="en-US" w:bidi="ar-SA"/>
                <w14:textFill>
                  <w14:solidFill>
                    <w14:schemeClr w14:val="tx1"/>
                  </w14:solidFill>
                </w14:textFill>
              </w:rPr>
              <w:t>.</w:t>
            </w:r>
          </w:p>
        </w:tc>
        <w:tc>
          <w:tcPr>
            <w:tcW w:w="761" w:type="dxa"/>
            <w:tcBorders>
              <w:top w:val="single" w:color="auto" w:sz="4" w:space="0"/>
              <w:left w:val="single" w:color="auto" w:sz="4" w:space="0"/>
              <w:right w:val="single" w:color="auto" w:sz="4" w:space="0"/>
            </w:tcBorders>
            <w:shd w:val="clear" w:color="auto" w:fill="BEBEBE" w:themeFill="background1" w:themeFillShade="BF"/>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right="-57"/>
              <w:jc w:val="center"/>
              <w:textAlignment w:val="auto"/>
              <w:rPr>
                <w:rFonts w:hint="default" w:ascii="Times New Roman" w:hAnsi="Times New Roman" w:eastAsia="Calibri" w:cs="Times New Roman"/>
                <w:b/>
                <w:color w:val="000000" w:themeColor="text1"/>
                <w:sz w:val="22"/>
                <w:szCs w:val="22"/>
                <w:highlight w:val="none"/>
                <w:lang w:eastAsia="en-US" w:bidi="ar-SA"/>
                <w14:textFill>
                  <w14:solidFill>
                    <w14:schemeClr w14:val="tx1"/>
                  </w14:solidFill>
                </w14:textFill>
              </w:rPr>
            </w:pPr>
            <w:r>
              <w:rPr>
                <w:rFonts w:ascii="Times New Roman" w:hAnsi="Times New Roman" w:eastAsia="Calibri" w:cs="Times New Roman"/>
                <w:b/>
                <w:color w:val="000000" w:themeColor="text1"/>
                <w:sz w:val="22"/>
                <w:szCs w:val="22"/>
                <w:highlight w:val="none"/>
                <w:lang w:val="ru-RU" w:eastAsia="en-US" w:bidi="ar-SA"/>
                <w14:textFill>
                  <w14:solidFill>
                    <w14:schemeClr w14:val="tx1"/>
                  </w14:solidFill>
                </w14:textFill>
              </w:rPr>
              <w:t>Canti</w:t>
            </w:r>
            <w:r>
              <w:rPr>
                <w:rFonts w:hint="default" w:ascii="Times New Roman" w:hAnsi="Times New Roman" w:eastAsia="Calibri" w:cs="Times New Roman"/>
                <w:b/>
                <w:color w:val="000000" w:themeColor="text1"/>
                <w:sz w:val="22"/>
                <w:szCs w:val="22"/>
                <w:highlight w:val="none"/>
                <w:lang w:eastAsia="en-US" w:bidi="ar-SA"/>
                <w14:textFill>
                  <w14:solidFill>
                    <w14:schemeClr w14:val="tx1"/>
                  </w14:solidFill>
                </w14:textFill>
              </w:rPr>
              <w:t>-</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right="-57"/>
              <w:jc w:val="center"/>
              <w:textAlignment w:val="auto"/>
              <w:rPr>
                <w:rFonts w:ascii="Times New Roman" w:hAnsi="Times New Roman" w:eastAsia="Calibri" w:cs="Times New Roman"/>
                <w:b/>
                <w:color w:val="000000" w:themeColor="text1"/>
                <w:sz w:val="22"/>
                <w:szCs w:val="22"/>
                <w:highlight w:val="none"/>
                <w:lang w:val="ru-RU" w:eastAsia="en-US" w:bidi="ar-SA"/>
                <w14:textFill>
                  <w14:solidFill>
                    <w14:schemeClr w14:val="tx1"/>
                  </w14:solidFill>
                </w14:textFill>
              </w:rPr>
            </w:pPr>
            <w:r>
              <w:rPr>
                <w:rFonts w:ascii="Times New Roman" w:hAnsi="Times New Roman" w:eastAsia="Calibri" w:cs="Times New Roman"/>
                <w:b/>
                <w:color w:val="000000" w:themeColor="text1"/>
                <w:sz w:val="22"/>
                <w:szCs w:val="22"/>
                <w:highlight w:val="none"/>
                <w:lang w:val="ru-RU" w:eastAsia="en-US" w:bidi="ar-SA"/>
                <w14:textFill>
                  <w14:solidFill>
                    <w14:schemeClr w14:val="tx1"/>
                  </w14:solidFill>
                </w14:textFill>
              </w:rPr>
              <w:t>tatea</w:t>
            </w:r>
          </w:p>
        </w:tc>
        <w:tc>
          <w:tcPr>
            <w:tcW w:w="5233"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right="-57"/>
              <w:jc w:val="center"/>
              <w:textAlignment w:val="auto"/>
              <w:rPr>
                <w:rFonts w:hint="default" w:ascii="Times New Roman" w:hAnsi="Times New Roman" w:eastAsia="Calibri" w:cs="Times New Roman"/>
                <w:b/>
                <w:color w:val="000000" w:themeColor="text1"/>
                <w:sz w:val="22"/>
                <w:szCs w:val="22"/>
                <w:highlight w:val="none"/>
                <w:lang w:eastAsia="en-US" w:bidi="ar-SA"/>
                <w14:textFill>
                  <w14:solidFill>
                    <w14:schemeClr w14:val="tx1"/>
                  </w14:solidFill>
                </w14:textFill>
              </w:rPr>
            </w:pPr>
            <w:r>
              <w:rPr>
                <w:rFonts w:ascii="Times New Roman" w:hAnsi="Times New Roman" w:eastAsia="Calibri" w:cs="Times New Roman"/>
                <w:b/>
                <w:color w:val="000000" w:themeColor="text1"/>
                <w:sz w:val="22"/>
                <w:szCs w:val="22"/>
                <w:highlight w:val="none"/>
                <w:lang w:eastAsia="en-US" w:bidi="ar-SA"/>
                <w14:textFill>
                  <w14:solidFill>
                    <w14:schemeClr w14:val="tx1"/>
                  </w14:solidFill>
                </w14:textFill>
              </w:rPr>
              <w:t>Specificarea tehnică deplină solicitată, Standarde de referință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55" w:type="dxa"/>
            <w:gridSpan w:val="5"/>
            <w:shd w:val="clear" w:color="auto" w:fill="BEBEBE" w:themeFill="background1" w:themeFillShade="BF"/>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right="-57"/>
              <w:jc w:val="center"/>
              <w:textAlignment w:val="auto"/>
              <w:rPr>
                <w:rFonts w:hint="default" w:ascii="Times New Roman" w:hAnsi="Times New Roman" w:eastAsia="Calibri" w:cs="Times New Roman"/>
                <w:b/>
                <w:bCs/>
                <w:color w:val="000000" w:themeColor="text1"/>
                <w:sz w:val="22"/>
                <w:szCs w:val="22"/>
                <w:highlight w:val="none"/>
                <w:lang w:val="ro-RO" w:eastAsia="en-US" w:bidi="ar-SA"/>
                <w14:textFill>
                  <w14:solidFill>
                    <w14:schemeClr w14:val="tx1"/>
                  </w14:solidFill>
                </w14:textFill>
              </w:rPr>
            </w:pPr>
            <w:r>
              <w:rPr>
                <w:rFonts w:hint="default" w:ascii="Times New Roman" w:hAnsi="Times New Roman" w:eastAsia="Calibri" w:cs="Times New Roman"/>
                <w:b/>
                <w:bCs/>
                <w:color w:val="000000" w:themeColor="text1"/>
                <w:sz w:val="22"/>
                <w:szCs w:val="22"/>
                <w:highlight w:val="none"/>
                <w:lang w:val="ro-RO" w:eastAsia="en-US" w:bidi="ar-SA"/>
                <w14:textFill>
                  <w14:solidFill>
                    <w14:schemeClr w14:val="tx1"/>
                  </w14:solidFill>
                </w14:textFill>
              </w:rPr>
              <w:t>L</w:t>
            </w:r>
            <w:r>
              <w:rPr>
                <w:rFonts w:hint="default" w:ascii="Times New Roman" w:hAnsi="Times New Roman" w:eastAsia="Calibri" w:cs="Times New Roman"/>
                <w:b/>
                <w:bCs/>
                <w:color w:val="000000" w:themeColor="text1"/>
                <w:sz w:val="22"/>
                <w:szCs w:val="22"/>
                <w:highlight w:val="none"/>
                <w:lang w:eastAsia="en-US" w:bidi="ar-SA"/>
                <w14:textFill>
                  <w14:solidFill>
                    <w14:schemeClr w14:val="tx1"/>
                  </w14:solidFill>
                </w14:textFill>
              </w:rPr>
              <w:t>otul nr.</w:t>
            </w:r>
            <w:r>
              <w:rPr>
                <w:rFonts w:hint="default" w:ascii="Times New Roman" w:hAnsi="Times New Roman" w:eastAsia="Calibri" w:cs="Times New Roman"/>
                <w:b/>
                <w:bCs/>
                <w:color w:val="000000" w:themeColor="text1"/>
                <w:sz w:val="22"/>
                <w:szCs w:val="22"/>
                <w:highlight w:val="none"/>
                <w:lang w:val="ro-RO" w:eastAsia="en-US" w:bidi="ar-SA"/>
                <w14:textFill>
                  <w14:solidFill>
                    <w14:schemeClr w14:val="tx1"/>
                  </w14:solidFill>
                </w14:textFill>
              </w:rPr>
              <w:t xml:space="preserve"> 1. </w:t>
            </w:r>
            <w:r>
              <w:rPr>
                <w:rFonts w:hint="default" w:ascii="Times New Roman" w:hAnsi="Times New Roman" w:eastAsia="Calibri"/>
                <w:b/>
                <w:bCs/>
                <w:color w:val="000000" w:themeColor="text1"/>
                <w:sz w:val="22"/>
                <w:szCs w:val="22"/>
                <w:highlight w:val="none"/>
                <w:lang w:eastAsia="en-US"/>
                <w14:textFill>
                  <w14:solidFill>
                    <w14:schemeClr w14:val="tx1"/>
                  </w14:solidFill>
                </w14:textFill>
              </w:rPr>
              <w:t>Robinete și filtre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Robinet cu bilă sub sudură Dn25 Pn16, trecere totală, oțel P265GH</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2,0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stheme="minorBidi"/>
                <w:color w:val="000000" w:themeColor="text1"/>
                <w:sz w:val="22"/>
                <w:szCs w:val="22"/>
                <w:highlight w:val="none"/>
                <w:lang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Robinet cu bilă sub sudură Dn25 Pn16 Tmax</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-min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120℃, trecere totală</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Corp din oțel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marca</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P265GH</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conform SM EN 10028-2. Bilă și tijă din oțel inoxidabil. Racorduri pentru sudare cap la cap conform SM EN 12627. Pentru apă; utilizare în rețelele de termoficare.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Robinet cu bilă sub sudură Dn40 Pn16, trecere totală, oțel P265GH</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4,0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val="en-US" w:eastAsia="en-US"/>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Robinet cu bilă sub sudură Dn</w:t>
            </w:r>
            <w:r>
              <w:rPr>
                <w:rFonts w:hint="default" w:ascii="Times New Roman" w:hAnsi="Times New Roman" w:eastAsia="Calibri"/>
                <w:color w:val="000000" w:themeColor="text1"/>
                <w:sz w:val="22"/>
                <w:szCs w:val="22"/>
                <w:highlight w:val="none"/>
                <w:lang w:eastAsia="en-US"/>
                <w14:textFill>
                  <w14:solidFill>
                    <w14:schemeClr w14:val="tx1"/>
                  </w14:solidFill>
                </w14:textFill>
              </w:rPr>
              <w:t>40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Pn16 Tmax</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-min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120℃, trecere totală</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Corp din oțel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marca</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P265GH</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conform SM EN 10028-2. Bilă și tijă din oțel inoxidabil. Racorduri pentru sudare cap la cap conform SM EN 12627. Pentru apă; utilizare în rețelele de termoficare.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Robinet cu bilă sub sudură Dn80 Pn16, trecere totală, oțel P265GH</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4,0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val="en-US" w:eastAsia="en-US"/>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Robinet cu bilă sub sudură Dn</w:t>
            </w:r>
            <w:r>
              <w:rPr>
                <w:rFonts w:hint="default" w:ascii="Times New Roman" w:hAnsi="Times New Roman" w:eastAsia="Calibri"/>
                <w:color w:val="000000" w:themeColor="text1"/>
                <w:sz w:val="22"/>
                <w:szCs w:val="22"/>
                <w:highlight w:val="none"/>
                <w:lang w:eastAsia="en-US"/>
                <w14:textFill>
                  <w14:solidFill>
                    <w14:schemeClr w14:val="tx1"/>
                  </w14:solidFill>
                </w14:textFill>
              </w:rPr>
              <w:t>80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Pn16 Tmax</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-min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120℃, trecere totală</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Corp din oțel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marca</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P265GH</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conform SM EN 10028-2. Bilă și tijă din oțel inoxidabil. Racorduri pentru sudare cap la cap conform SM EN 12627. Pentru apă; utilizare în rețelele de termoficare.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Robinet cu bilă sub sudură Dn100 Pn16, trecere totală, oțel P265GH</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6,0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val="en-US" w:eastAsia="en-US"/>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Robinet cu bilă sub sudură Dn</w:t>
            </w:r>
            <w:r>
              <w:rPr>
                <w:rFonts w:hint="default" w:ascii="Times New Roman" w:hAnsi="Times New Roman" w:eastAsia="Calibri"/>
                <w:color w:val="000000" w:themeColor="text1"/>
                <w:sz w:val="22"/>
                <w:szCs w:val="22"/>
                <w:highlight w:val="none"/>
                <w:lang w:eastAsia="en-US"/>
                <w14:textFill>
                  <w14:solidFill>
                    <w14:schemeClr w14:val="tx1"/>
                  </w14:solidFill>
                </w14:textFill>
              </w:rPr>
              <w:t>100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Pn16 Tmax</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-min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120℃, trecere totală</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Corp din oțel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marca</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P265GH</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conform SM EN 10028-2. Bilă și tijă din oțel inoxidabil. Racorduri pentru sudare cap la cap conform SM EN 12627. Pentru apă; utilizare în rețelele de termoficare.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Robinet cu bilă sub sudură Dn150 Pn16, trecere totală, oțel P265GH</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8,0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val="en-US" w:eastAsia="en-US"/>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Robinet cu bilă sub sudură Dn</w:t>
            </w:r>
            <w:r>
              <w:rPr>
                <w:rFonts w:hint="default" w:ascii="Times New Roman" w:hAnsi="Times New Roman" w:eastAsia="Calibri"/>
                <w:color w:val="000000" w:themeColor="text1"/>
                <w:sz w:val="22"/>
                <w:szCs w:val="22"/>
                <w:highlight w:val="none"/>
                <w:lang w:eastAsia="en-US"/>
                <w14:textFill>
                  <w14:solidFill>
                    <w14:schemeClr w14:val="tx1"/>
                  </w14:solidFill>
                </w14:textFill>
              </w:rPr>
              <w:t>150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Pn16 Tmax</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-min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120℃, trecere totală</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Corp din oțel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marca</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P265GH</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conform SM EN 10028-2. Bilă și tijă din oțel inoxidabil. Racorduri pentru sudare cap la cap conform SM EN 12627. Pentru apă; utilizare în rețelele de termoficare.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Robinet cu bilă sub sudură Dn200 Pn16, trecere totală, oțel P265GH</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4,0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val="en-US" w:eastAsia="en-US"/>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Robinet cu bilă sub sudură Dn</w:t>
            </w:r>
            <w:r>
              <w:rPr>
                <w:rFonts w:hint="default" w:ascii="Times New Roman" w:hAnsi="Times New Roman" w:eastAsia="Calibri"/>
                <w:color w:val="000000" w:themeColor="text1"/>
                <w:sz w:val="22"/>
                <w:szCs w:val="22"/>
                <w:highlight w:val="none"/>
                <w:lang w:eastAsia="en-US"/>
                <w14:textFill>
                  <w14:solidFill>
                    <w14:schemeClr w14:val="tx1"/>
                  </w14:solidFill>
                </w14:textFill>
              </w:rPr>
              <w:t>200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Pn16 Tmax</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-min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120℃, trecere totală</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Corp din oțel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marca</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P265GH</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conform SM EN 10028-2. Bilă și tijă din oțel inoxidabil. Racorduri pentru sudare cap la cap conform SM EN 12627. Pentru apă; utilizare în rețelele de termoficare.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Robinet cu bilă sub sudură Dn250 Pn16, trecere totală, oțel P265GH</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8,0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val="en-US" w:eastAsia="en-US"/>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Robinet cu bilă sub sudură Dn</w:t>
            </w:r>
            <w:r>
              <w:rPr>
                <w:rFonts w:hint="default" w:ascii="Times New Roman" w:hAnsi="Times New Roman" w:eastAsia="Calibri"/>
                <w:color w:val="000000" w:themeColor="text1"/>
                <w:sz w:val="22"/>
                <w:szCs w:val="22"/>
                <w:highlight w:val="none"/>
                <w:lang w:eastAsia="en-US"/>
                <w14:textFill>
                  <w14:solidFill>
                    <w14:schemeClr w14:val="tx1"/>
                  </w14:solidFill>
                </w14:textFill>
              </w:rPr>
              <w:t>250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Pn16 Tmax</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-min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120℃, trecere totală</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Corp din oțel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marca</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P265GH</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conform SM EN 10028-2. Bilă și tijă din oțel inoxidabil. Racorduri pentru sudare cap la cap conform SM EN 12627. Pentru apă; utilizare în rețelele de termoficare.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Robinet cu bilă sub sudură Dn300 Pn16, trecere totală, oțel P265GH</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6,0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val="en-US" w:eastAsia="en-US"/>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Robinet cu bilă sub sudură Dn</w:t>
            </w:r>
            <w:r>
              <w:rPr>
                <w:rFonts w:hint="default" w:ascii="Times New Roman" w:hAnsi="Times New Roman" w:eastAsia="Calibri"/>
                <w:color w:val="000000" w:themeColor="text1"/>
                <w:sz w:val="22"/>
                <w:szCs w:val="22"/>
                <w:highlight w:val="none"/>
                <w:lang w:eastAsia="en-US"/>
                <w14:textFill>
                  <w14:solidFill>
                    <w14:schemeClr w14:val="tx1"/>
                  </w14:solidFill>
                </w14:textFill>
              </w:rPr>
              <w:t>300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Pn16 Tmax</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-min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120℃, trecere totală</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Corp din oțel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marca</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P265GH</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conform SM EN 10028-2. Bilă și tijă din oțel inoxidabil. Racorduri pentru sudare cap la cap conform SM EN 12627. Pentru apă; utilizare în rețelele de termoficare.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Robinet cu bilă sub sudură Dn400 Pn16, trecere totală, oțel P265GH</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3,0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val="en-US" w:eastAsia="en-US"/>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Robinet cu bilă sub sudură Dn</w:t>
            </w:r>
            <w:r>
              <w:rPr>
                <w:rFonts w:hint="default" w:ascii="Times New Roman" w:hAnsi="Times New Roman" w:eastAsia="Calibri"/>
                <w:color w:val="000000" w:themeColor="text1"/>
                <w:sz w:val="22"/>
                <w:szCs w:val="22"/>
                <w:highlight w:val="none"/>
                <w:lang w:eastAsia="en-US"/>
                <w14:textFill>
                  <w14:solidFill>
                    <w14:schemeClr w14:val="tx1"/>
                  </w14:solidFill>
                </w14:textFill>
              </w:rPr>
              <w:t>400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Pn16 Tmax</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-min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120℃, trecere totală</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Corp din oțel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marca</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P265GH</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conform SM EN 10028-2. Bilă și tijă din oțel inoxidabil. Racorduri pentru sudare cap la cap conform SM EN 12627. Pentru apă; utilizare în rețelele de termoficare.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b w:val="0"/>
                <w:bCs w:val="0"/>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b w:val="0"/>
                <w:bCs w:val="0"/>
                <w:color w:val="000000" w:themeColor="text1"/>
                <w:sz w:val="22"/>
                <w:szCs w:val="22"/>
                <w:highlight w:val="none"/>
                <w:lang w:eastAsia="en-US" w:bidi="ar-SA"/>
                <w14:textFill>
                  <w14:solidFill>
                    <w14:schemeClr w14:val="tx1"/>
                  </w14:solidFill>
                </w14:textFill>
              </w:rPr>
            </w:pP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Robinet cu bilă cu flanșe Dn40 Pn16, trecere totală, oțel P265GH</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b w:val="0"/>
                <w:bCs w:val="0"/>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b w:val="0"/>
                <w:bCs w:val="0"/>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b w:val="0"/>
                <w:bCs w:val="0"/>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b w:val="0"/>
                <w:bCs w:val="0"/>
                <w:color w:val="000000" w:themeColor="text1"/>
                <w:sz w:val="22"/>
                <w:szCs w:val="22"/>
                <w:highlight w:val="none"/>
                <w:lang w:eastAsia="en-US" w:bidi="ar-SA"/>
                <w14:textFill>
                  <w14:solidFill>
                    <w14:schemeClr w14:val="tx1"/>
                  </w14:solidFill>
                </w14:textFill>
              </w:rPr>
              <w:t>12,0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pP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Robinet cu bilă </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cu flanșe</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 Dn</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40</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 Pn16 Tmax</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-min </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120℃, trecere totală</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Corp din oțel </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marca</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 </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P265GH</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 conform SM EN 10028-2. Bilă și tijă din oțel inoxidabil. Pentru apă; utilizare în rețelele de termoficare.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Robinet cu bilă cu flanșe Dn50 Pn16, trecere totală, oțel P265GH</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78,0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Robinet cu bilă </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cu flanșe</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 Dn</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50</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 Pn16 Tmax</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-min </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120℃, trecere totală</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Corp din oțel </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marca</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 </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P265GH</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 conform SM EN 10028-2. Bilă și tijă din oțel inoxidabil. Pentru apă; utilizare în rețelele de termoficare.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Robinet cu bilă cu flanșe Dn80 Pn16, trecere totală, oțel P265GH</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18,0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Robinet cu bilă </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cu flanșe</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 Dn</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80</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 Pn16 Tmax</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-min </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120℃, trecere totală</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Corp din oțel </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marca</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 </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P265GH</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 conform SM EN 10028-2. Bilă și tijă din oțel inoxidabil. Pentru apă; utilizare în rețelele de termoficare.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Robinet cu bilă cu flanșe Dn100 Pn16, trecere totală, oțel P265GH</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6,0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Robinet cu bilă </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cu flanșe</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 Dn</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100</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 Pn16 Tmax</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-min </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120℃, trecere totală</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Corp din oțel </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marca</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 </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P265GH</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 conform SM EN 10028-2. Bilă și tijă din oțel inoxidabil. Pentru apă; utilizare în rețelele de termoficare.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Robinet cu bilă cu flanșe Dn150 Pn16, trecere totală, oțel P265GH</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26,0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Robinet cu bilă </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cu flanșe</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 Dn</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150</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 Pn16 Tmax</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-min </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120℃, trecere totală</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Corp din oțel </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marca</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 </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P265GH</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 conform SM EN 10028-2. Bilă și tijă din oțel inoxidabil. Pentru apă; utilizare în rețelele de termoficare.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Robinet cu bilă cu flanșe Dn200 Pn16, trecere totală, oțel P265GH</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4,0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Robinet cu bilă </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cu flanșe</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 Dn</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200</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 Pn16 Tmax</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-min </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120℃, trecere totală</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Corp din oțel </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marca</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 </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P265GH</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 xml:space="preserve"> conform SM EN 10028-2. Bilă și tijă din oțel inoxidabil. Pentru apă; utilizare în rețelele de termoficare.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Robinet de plută 11ч8бк cu flanșe Dn100 Pn10 L=300mm, din fontă</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4,0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Robinet de plută 11ч8бк cu flanșe Dn100, Pn10. Lungimea de fabricație (de montare): 300 mm. Temperatura mediului de lucru: +40℃. Mediu: bazic. Material corp: fontă.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b w:val="0"/>
                <w:bCs w:val="0"/>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b w:val="0"/>
                <w:bCs w:val="0"/>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Filtru Y Dn40 Pn16 cu flanșe</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b w:val="0"/>
                <w:bCs w:val="0"/>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b w:val="0"/>
                <w:bCs w:val="0"/>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b w:val="0"/>
                <w:bCs w:val="0"/>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b w:val="0"/>
                <w:bCs w:val="0"/>
                <w:color w:val="000000" w:themeColor="text1"/>
                <w:sz w:val="22"/>
                <w:szCs w:val="22"/>
                <w:highlight w:val="none"/>
                <w:lang w:eastAsia="en-US" w:bidi="ar-SA"/>
                <w14:textFill>
                  <w14:solidFill>
                    <w14:schemeClr w14:val="tx1"/>
                  </w14:solidFill>
                </w14:textFill>
              </w:rPr>
              <w:t>4,0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pP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Filtru tip „Y” Dn40 Pn16 cu flanșe. Capete brăzdate conform EN 1092-1. Dimensiune constructivă între fețe conform EN 558 seria 1 (DIN 3202-F1). Corp și capac EN-GJL-250. Element filtrant din oțel inoxidabil AISI 304. Garnitură corp - capac din grafit, echipat cu dop de purjare. Protecție interioară și exterioară cu vopsea epoxidică. Temperatură de lucru până la +120℃. Utilizare în rețele de</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stheme="minorBidi"/>
                <w:b w:val="0"/>
                <w:bCs w:val="0"/>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termoficare.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Flanșă pentru racord la țeavă Dn40, sudabilă; compatibilă cu filtru Y Dn40 Pn16 cu flanșe</w:t>
            </w: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xml:space="preserve"> (vezi poziția nr. 17)</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8,0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stheme="minorBidi"/>
                <w:color w:val="000000" w:themeColor="text1"/>
                <w:sz w:val="22"/>
                <w:szCs w:val="22"/>
                <w:highlight w:val="none"/>
                <w:lang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Flanșă p</w:t>
            </w:r>
            <w:r>
              <w:rPr>
                <w:rFonts w:hint="default" w:ascii="Times New Roman" w:hAnsi="Times New Roman" w:eastAsia="Calibri"/>
                <w:color w:val="000000" w:themeColor="text1"/>
                <w:sz w:val="22"/>
                <w:szCs w:val="22"/>
                <w:highlight w:val="none"/>
                <w:lang w:eastAsia="en-US"/>
                <w14:textFill>
                  <w14:solidFill>
                    <w14:schemeClr w14:val="tx1"/>
                  </w14:solidFill>
                </w14:textFill>
              </w:rPr>
              <w:t>entr</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u racord la țeavă Dn40, sudabilă</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C</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ompatibilă cu filtru Y Dn40 Pn16 cu flanșe</w:t>
            </w:r>
            <w:r>
              <w:rPr>
                <w:rFonts w:hint="default" w:ascii="Times New Roman" w:hAnsi="Times New Roman" w:eastAsia="Calibri"/>
                <w:color w:val="000000" w:themeColor="text1"/>
                <w:sz w:val="22"/>
                <w:szCs w:val="22"/>
                <w:highlight w:val="none"/>
                <w:lang w:eastAsia="en-US"/>
                <w14:textFill>
                  <w14:solidFill>
                    <w14:schemeClr w14:val="tx1"/>
                  </w14:solidFill>
                </w14:textFill>
              </w:rPr>
              <w:t>, menționat la poziția nr. 17, lot nr.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Filtru Y Dn50 Pn16 cu flanșe</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16,0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val="en-US" w:eastAsia="en-US"/>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Filtru tip „Y” Dn</w:t>
            </w:r>
            <w:r>
              <w:rPr>
                <w:rFonts w:hint="default" w:ascii="Times New Roman" w:hAnsi="Times New Roman" w:eastAsia="Calibri"/>
                <w:color w:val="000000" w:themeColor="text1"/>
                <w:sz w:val="22"/>
                <w:szCs w:val="22"/>
                <w:highlight w:val="none"/>
                <w:lang w:eastAsia="en-US"/>
                <w14:textFill>
                  <w14:solidFill>
                    <w14:schemeClr w14:val="tx1"/>
                  </w14:solidFill>
                </w14:textFill>
              </w:rPr>
              <w:t>5</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0 Pn16 cu flanșe. Capete brăzdate conform EN 1092-1. Dimensiune constructivă între fețe conform EN 558 seria 1 (DIN 3202-F1). Corp și capac EN-GJL-250. Element filtrant din oțel inoxidabil AISI 304. Garnitură corp - capac din grafit, echipat cu dop de purjare. Protecție interioară și exterioară cu vopsea epoxidică. Temperatură de lucru până la +120℃. Utilizare în rețele de</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termoficare.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Flanșă pentru racord la țeavă Dn50, sudabilă; compatibilă cu filtru Y Dn50 Pn16 cu flanșe</w:t>
            </w: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xml:space="preserve"> (vezi poziția nr. 19)</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32,0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Flanșă p</w:t>
            </w:r>
            <w:r>
              <w:rPr>
                <w:rFonts w:hint="default" w:ascii="Times New Roman" w:hAnsi="Times New Roman" w:eastAsia="Calibri"/>
                <w:color w:val="000000" w:themeColor="text1"/>
                <w:sz w:val="22"/>
                <w:szCs w:val="22"/>
                <w:highlight w:val="none"/>
                <w:lang w:eastAsia="en-US"/>
                <w14:textFill>
                  <w14:solidFill>
                    <w14:schemeClr w14:val="tx1"/>
                  </w14:solidFill>
                </w14:textFill>
              </w:rPr>
              <w:t>entr</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u racord la țeavă Dn</w:t>
            </w:r>
            <w:r>
              <w:rPr>
                <w:rFonts w:hint="default" w:ascii="Times New Roman" w:hAnsi="Times New Roman" w:eastAsia="Calibri"/>
                <w:color w:val="000000" w:themeColor="text1"/>
                <w:sz w:val="22"/>
                <w:szCs w:val="22"/>
                <w:highlight w:val="none"/>
                <w:lang w:eastAsia="en-US"/>
                <w14:textFill>
                  <w14:solidFill>
                    <w14:schemeClr w14:val="tx1"/>
                  </w14:solidFill>
                </w14:textFill>
              </w:rPr>
              <w:t>5</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0, sudabilă</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C</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ompatibilă cu filtru Y Dn</w:t>
            </w:r>
            <w:r>
              <w:rPr>
                <w:rFonts w:hint="default" w:ascii="Times New Roman" w:hAnsi="Times New Roman" w:eastAsia="Calibri"/>
                <w:color w:val="000000" w:themeColor="text1"/>
                <w:sz w:val="22"/>
                <w:szCs w:val="22"/>
                <w:highlight w:val="none"/>
                <w:lang w:eastAsia="en-US"/>
                <w14:textFill>
                  <w14:solidFill>
                    <w14:schemeClr w14:val="tx1"/>
                  </w14:solidFill>
                </w14:textFill>
              </w:rPr>
              <w:t>5</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0 Pn16 cu flanșe</w:t>
            </w:r>
            <w:r>
              <w:rPr>
                <w:rFonts w:hint="default" w:ascii="Times New Roman" w:hAnsi="Times New Roman" w:eastAsia="Calibri"/>
                <w:color w:val="000000" w:themeColor="text1"/>
                <w:sz w:val="22"/>
                <w:szCs w:val="22"/>
                <w:highlight w:val="none"/>
                <w:lang w:eastAsia="en-US"/>
                <w14:textFill>
                  <w14:solidFill>
                    <w14:schemeClr w14:val="tx1"/>
                  </w14:solidFill>
                </w14:textFill>
              </w:rPr>
              <w:t>, menționat la poziția nr. 19, lot nr.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Filtru Y Dn65 Pn16 cu flanșe</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21,0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val="en-US" w:eastAsia="en-US"/>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Filtru tip „Y” Dn</w:t>
            </w:r>
            <w:r>
              <w:rPr>
                <w:rFonts w:hint="default" w:ascii="Times New Roman" w:hAnsi="Times New Roman" w:eastAsia="Calibri"/>
                <w:color w:val="000000" w:themeColor="text1"/>
                <w:sz w:val="22"/>
                <w:szCs w:val="22"/>
                <w:highlight w:val="none"/>
                <w:lang w:eastAsia="en-US"/>
                <w14:textFill>
                  <w14:solidFill>
                    <w14:schemeClr w14:val="tx1"/>
                  </w14:solidFill>
                </w14:textFill>
              </w:rPr>
              <w:t>65</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Pn16 cu flanșe. Capete brăzdate conform EN 1092-1. Dimensiune constructivă între fețe conform EN 558 seria 1 (DIN 3202-F1). Corp și capac EN-GJL-250. Element filtrant din oțel inoxidabil AISI 304. Garnitură corp - capac din grafit, echipat cu dop de purjare. Protecție interioară și exterioară cu vopsea epoxidică. Temperatură de lucru până la +120℃. Utilizare în rețele de</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termoficare.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Flanșă pentru racord la țeavă Dn65, sudabilă; compatibilă cu filtru Y Dn65 Pn16 cu flanșe</w:t>
            </w: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xml:space="preserve"> (vezi poziția nr. 21)</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42,0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Flanșă p</w:t>
            </w:r>
            <w:r>
              <w:rPr>
                <w:rFonts w:hint="default" w:ascii="Times New Roman" w:hAnsi="Times New Roman" w:eastAsia="Calibri"/>
                <w:color w:val="000000" w:themeColor="text1"/>
                <w:sz w:val="22"/>
                <w:szCs w:val="22"/>
                <w:highlight w:val="none"/>
                <w:lang w:eastAsia="en-US"/>
                <w14:textFill>
                  <w14:solidFill>
                    <w14:schemeClr w14:val="tx1"/>
                  </w14:solidFill>
                </w14:textFill>
              </w:rPr>
              <w:t>entr</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u racord la țeavă Dn</w:t>
            </w:r>
            <w:r>
              <w:rPr>
                <w:rFonts w:hint="default" w:ascii="Times New Roman" w:hAnsi="Times New Roman" w:eastAsia="Calibri"/>
                <w:color w:val="000000" w:themeColor="text1"/>
                <w:sz w:val="22"/>
                <w:szCs w:val="22"/>
                <w:highlight w:val="none"/>
                <w:lang w:eastAsia="en-US"/>
                <w14:textFill>
                  <w14:solidFill>
                    <w14:schemeClr w14:val="tx1"/>
                  </w14:solidFill>
                </w14:textFill>
              </w:rPr>
              <w:t>65</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sudabilă</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C</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ompatibilă cu filtru Y Dn</w:t>
            </w:r>
            <w:r>
              <w:rPr>
                <w:rFonts w:hint="default" w:ascii="Times New Roman" w:hAnsi="Times New Roman" w:eastAsia="Calibri"/>
                <w:color w:val="000000" w:themeColor="text1"/>
                <w:sz w:val="22"/>
                <w:szCs w:val="22"/>
                <w:highlight w:val="none"/>
                <w:lang w:eastAsia="en-US"/>
                <w14:textFill>
                  <w14:solidFill>
                    <w14:schemeClr w14:val="tx1"/>
                  </w14:solidFill>
                </w14:textFill>
              </w:rPr>
              <w:t>65</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Pn16 cu flanșe</w:t>
            </w:r>
            <w:r>
              <w:rPr>
                <w:rFonts w:hint="default" w:ascii="Times New Roman" w:hAnsi="Times New Roman" w:eastAsia="Calibri"/>
                <w:color w:val="000000" w:themeColor="text1"/>
                <w:sz w:val="22"/>
                <w:szCs w:val="22"/>
                <w:highlight w:val="none"/>
                <w:lang w:eastAsia="en-US"/>
                <w14:textFill>
                  <w14:solidFill>
                    <w14:schemeClr w14:val="tx1"/>
                  </w14:solidFill>
                </w14:textFill>
              </w:rPr>
              <w:t>, menționat la poziția nr. 21, lot nr.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Filtru Y Dn80 Pn16 cu flanșe</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32,0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val="en-US" w:eastAsia="en-US"/>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Filtru tip „Y” Dn</w:t>
            </w:r>
            <w:r>
              <w:rPr>
                <w:rFonts w:hint="default" w:ascii="Times New Roman" w:hAnsi="Times New Roman" w:eastAsia="Calibri"/>
                <w:color w:val="000000" w:themeColor="text1"/>
                <w:sz w:val="22"/>
                <w:szCs w:val="22"/>
                <w:highlight w:val="none"/>
                <w:lang w:eastAsia="en-US"/>
                <w14:textFill>
                  <w14:solidFill>
                    <w14:schemeClr w14:val="tx1"/>
                  </w14:solidFill>
                </w14:textFill>
              </w:rPr>
              <w:t>8</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0 Pn16 cu flanșe. Capete brăzdate conform EN 1092-1. Dimensiune constructivă între fețe conform EN 558 seria 1 (DIN 3202-F1). Corp și capac EN-GJL-250. Element filtrant din oțel inoxidabil AISI 304. Garnitură corp - capac din grafit, echipat cu dop de purjare. Protecție interioară și exterioară cu vopsea epoxidică. Temperatură de lucru până la +120℃. Utilizare în rețele de</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termoficare.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Flanșă pentru racord la țeavă Dn80, sudabilă; compatibilă cu filtru Y Dn80 Pn16 cu flanșe</w:t>
            </w: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xml:space="preserve"> (vezi poziția nr. 23)</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64,0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Flanșă p</w:t>
            </w:r>
            <w:r>
              <w:rPr>
                <w:rFonts w:hint="default" w:ascii="Times New Roman" w:hAnsi="Times New Roman" w:eastAsia="Calibri"/>
                <w:color w:val="000000" w:themeColor="text1"/>
                <w:sz w:val="22"/>
                <w:szCs w:val="22"/>
                <w:highlight w:val="none"/>
                <w:lang w:eastAsia="en-US"/>
                <w14:textFill>
                  <w14:solidFill>
                    <w14:schemeClr w14:val="tx1"/>
                  </w14:solidFill>
                </w14:textFill>
              </w:rPr>
              <w:t>entr</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u racord la țeavă Dn</w:t>
            </w:r>
            <w:r>
              <w:rPr>
                <w:rFonts w:hint="default" w:ascii="Times New Roman" w:hAnsi="Times New Roman" w:eastAsia="Calibri"/>
                <w:color w:val="000000" w:themeColor="text1"/>
                <w:sz w:val="22"/>
                <w:szCs w:val="22"/>
                <w:highlight w:val="none"/>
                <w:lang w:eastAsia="en-US"/>
                <w14:textFill>
                  <w14:solidFill>
                    <w14:schemeClr w14:val="tx1"/>
                  </w14:solidFill>
                </w14:textFill>
              </w:rPr>
              <w:t>80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sudabilă</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C</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ompatibilă cu filtru Y Dn</w:t>
            </w:r>
            <w:r>
              <w:rPr>
                <w:rFonts w:hint="default" w:ascii="Times New Roman" w:hAnsi="Times New Roman" w:eastAsia="Calibri"/>
                <w:color w:val="000000" w:themeColor="text1"/>
                <w:sz w:val="22"/>
                <w:szCs w:val="22"/>
                <w:highlight w:val="none"/>
                <w:lang w:eastAsia="en-US"/>
                <w14:textFill>
                  <w14:solidFill>
                    <w14:schemeClr w14:val="tx1"/>
                  </w14:solidFill>
                </w14:textFill>
              </w:rPr>
              <w:t>80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Pn16 cu flanșe</w:t>
            </w:r>
            <w:r>
              <w:rPr>
                <w:rFonts w:hint="default" w:ascii="Times New Roman" w:hAnsi="Times New Roman" w:eastAsia="Calibri"/>
                <w:color w:val="000000" w:themeColor="text1"/>
                <w:sz w:val="22"/>
                <w:szCs w:val="22"/>
                <w:highlight w:val="none"/>
                <w:lang w:eastAsia="en-US"/>
                <w14:textFill>
                  <w14:solidFill>
                    <w14:schemeClr w14:val="tx1"/>
                  </w14:solidFill>
                </w14:textFill>
              </w:rPr>
              <w:t>, menționat la poziția nr. 23, lot nr.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Filtru Y Dn100 Pn16 cu flanșe</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29,0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val="en-US" w:eastAsia="en-US"/>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Filtru tip „Y” Dn</w:t>
            </w:r>
            <w:r>
              <w:rPr>
                <w:rFonts w:hint="default" w:ascii="Times New Roman" w:hAnsi="Times New Roman" w:eastAsia="Calibri"/>
                <w:color w:val="000000" w:themeColor="text1"/>
                <w:sz w:val="22"/>
                <w:szCs w:val="22"/>
                <w:highlight w:val="none"/>
                <w:lang w:eastAsia="en-US"/>
                <w14:textFill>
                  <w14:solidFill>
                    <w14:schemeClr w14:val="tx1"/>
                  </w14:solidFill>
                </w14:textFill>
              </w:rPr>
              <w:t>10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0 Pn16 cu flanșe. Capete brăzdate conform EN 1092-1. Dimensiune constructivă între fețe conform EN 558 seria 1 (DIN 3202-F1). Corp și capac EN-GJL-250. Element filtrant din oțel inoxidabil AISI 304. Garnitură corp - capac din grafit, echipat cu dop de purjare. Protecție interioară și exterioară cu vopsea epoxidică. Temperatură de lucru până la +120℃. Utilizare în rețele de</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termoficare.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3"/>
              </w:numPr>
              <w:tabs>
                <w:tab w:val="clear" w:pos="425"/>
              </w:tabs>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Flanșă pentru racord la țeavă Dn100, sudabilă; compatibilă cu filtru Y Dn100 Pn16 cu flanșe</w:t>
            </w: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xml:space="preserve"> (vezi poziția nr. 25)</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58,0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Flanșă p</w:t>
            </w:r>
            <w:r>
              <w:rPr>
                <w:rFonts w:hint="default" w:ascii="Times New Roman" w:hAnsi="Times New Roman" w:eastAsia="Calibri"/>
                <w:color w:val="000000" w:themeColor="text1"/>
                <w:sz w:val="22"/>
                <w:szCs w:val="22"/>
                <w:highlight w:val="none"/>
                <w:lang w:eastAsia="en-US"/>
                <w14:textFill>
                  <w14:solidFill>
                    <w14:schemeClr w14:val="tx1"/>
                  </w14:solidFill>
                </w14:textFill>
              </w:rPr>
              <w:t>entr</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u racord la țeavă Dn</w:t>
            </w:r>
            <w:r>
              <w:rPr>
                <w:rFonts w:hint="default" w:ascii="Times New Roman" w:hAnsi="Times New Roman" w:eastAsia="Calibri"/>
                <w:color w:val="000000" w:themeColor="text1"/>
                <w:sz w:val="22"/>
                <w:szCs w:val="22"/>
                <w:highlight w:val="none"/>
                <w:lang w:eastAsia="en-US"/>
                <w14:textFill>
                  <w14:solidFill>
                    <w14:schemeClr w14:val="tx1"/>
                  </w14:solidFill>
                </w14:textFill>
              </w:rPr>
              <w:t>100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sudabilă</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C</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ompatibilă cu filtru Y Dn</w:t>
            </w:r>
            <w:r>
              <w:rPr>
                <w:rFonts w:hint="default" w:ascii="Times New Roman" w:hAnsi="Times New Roman" w:eastAsia="Calibri"/>
                <w:color w:val="000000" w:themeColor="text1"/>
                <w:sz w:val="22"/>
                <w:szCs w:val="22"/>
                <w:highlight w:val="none"/>
                <w:lang w:eastAsia="en-US"/>
                <w14:textFill>
                  <w14:solidFill>
                    <w14:schemeClr w14:val="tx1"/>
                  </w14:solidFill>
                </w14:textFill>
              </w:rPr>
              <w:t>100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Pn16 cu flanșe</w:t>
            </w:r>
            <w:r>
              <w:rPr>
                <w:rFonts w:hint="default" w:ascii="Times New Roman" w:hAnsi="Times New Roman" w:eastAsia="Calibri"/>
                <w:color w:val="000000" w:themeColor="text1"/>
                <w:sz w:val="22"/>
                <w:szCs w:val="22"/>
                <w:highlight w:val="none"/>
                <w:lang w:eastAsia="en-US"/>
                <w14:textFill>
                  <w14:solidFill>
                    <w14:schemeClr w14:val="tx1"/>
                  </w14:solidFill>
                </w14:textFill>
              </w:rPr>
              <w:t>, menționat la poziția nr. 25, lot nr.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55" w:type="dxa"/>
            <w:gridSpan w:val="5"/>
            <w:shd w:val="clear" w:color="auto" w:fill="BEBEBE" w:themeFill="background1" w:themeFillShade="BF"/>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b/>
                <w:bCs/>
                <w:color w:val="000000" w:themeColor="text1"/>
                <w:sz w:val="22"/>
                <w:szCs w:val="22"/>
                <w:highlight w:val="none"/>
                <w:lang w:val="ro-RO" w:eastAsia="en-US" w:bidi="ar-SA"/>
                <w14:textFill>
                  <w14:solidFill>
                    <w14:schemeClr w14:val="tx1"/>
                  </w14:solidFill>
                </w14:textFill>
              </w:rPr>
            </w:pPr>
            <w:r>
              <w:rPr>
                <w:rFonts w:hint="default" w:ascii="Times New Roman" w:hAnsi="Times New Roman" w:eastAsia="Calibri" w:cs="Times New Roman"/>
                <w:b/>
                <w:bCs/>
                <w:color w:val="000000" w:themeColor="text1"/>
                <w:sz w:val="22"/>
                <w:szCs w:val="22"/>
                <w:highlight w:val="none"/>
                <w:lang w:val="ro-RO" w:eastAsia="en-US" w:bidi="ar-SA"/>
                <w14:textFill>
                  <w14:solidFill>
                    <w14:schemeClr w14:val="tx1"/>
                  </w14:solidFill>
                </w14:textFill>
              </w:rPr>
              <w:t>L</w:t>
            </w:r>
            <w:r>
              <w:rPr>
                <w:rFonts w:hint="default" w:ascii="Times New Roman" w:hAnsi="Times New Roman" w:eastAsia="Calibri" w:cs="Times New Roman"/>
                <w:b/>
                <w:bCs/>
                <w:color w:val="000000" w:themeColor="text1"/>
                <w:sz w:val="22"/>
                <w:szCs w:val="22"/>
                <w:highlight w:val="none"/>
                <w:lang w:eastAsia="en-US" w:bidi="ar-SA"/>
                <w14:textFill>
                  <w14:solidFill>
                    <w14:schemeClr w14:val="tx1"/>
                  </w14:solidFill>
                </w14:textFill>
              </w:rPr>
              <w:t>otul nr.</w:t>
            </w:r>
            <w:r>
              <w:rPr>
                <w:rFonts w:hint="default" w:ascii="Times New Roman" w:hAnsi="Times New Roman" w:eastAsia="Calibri" w:cs="Times New Roman"/>
                <w:b/>
                <w:bCs/>
                <w:color w:val="000000" w:themeColor="text1"/>
                <w:sz w:val="22"/>
                <w:szCs w:val="22"/>
                <w:highlight w:val="none"/>
                <w:lang w:val="ro-RO" w:eastAsia="en-US" w:bidi="ar-SA"/>
                <w14:textFill>
                  <w14:solidFill>
                    <w14:schemeClr w14:val="tx1"/>
                  </w14:solidFill>
                </w14:textFill>
              </w:rPr>
              <w:t xml:space="preserve"> </w:t>
            </w:r>
            <w:r>
              <w:rPr>
                <w:rFonts w:hint="default" w:ascii="Times New Roman" w:hAnsi="Times New Roman" w:eastAsia="Calibri" w:cs="Times New Roman"/>
                <w:b/>
                <w:bCs/>
                <w:color w:val="000000" w:themeColor="text1"/>
                <w:sz w:val="22"/>
                <w:szCs w:val="22"/>
                <w:highlight w:val="none"/>
                <w:lang w:eastAsia="en-US" w:bidi="ar-SA"/>
                <w14:textFill>
                  <w14:solidFill>
                    <w14:schemeClr w14:val="tx1"/>
                  </w14:solidFill>
                </w14:textFill>
              </w:rPr>
              <w:t>2</w:t>
            </w:r>
            <w:r>
              <w:rPr>
                <w:rFonts w:hint="default" w:ascii="Times New Roman" w:hAnsi="Times New Roman" w:eastAsia="Calibri" w:cs="Times New Roman"/>
                <w:b/>
                <w:bCs/>
                <w:color w:val="000000" w:themeColor="text1"/>
                <w:sz w:val="22"/>
                <w:szCs w:val="22"/>
                <w:highlight w:val="none"/>
                <w:lang w:val="ro-RO" w:eastAsia="en-US" w:bidi="ar-SA"/>
                <w14:textFill>
                  <w14:solidFill>
                    <w14:schemeClr w14:val="tx1"/>
                  </w14:solidFill>
                </w14:textFill>
              </w:rPr>
              <w:t>.</w:t>
            </w:r>
            <w:r>
              <w:rPr>
                <w:rFonts w:hint="default" w:ascii="Times New Roman" w:hAnsi="Times New Roman" w:eastAsia="Calibri" w:cs="Times New Roman"/>
                <w:b/>
                <w:bCs/>
                <w:color w:val="000000" w:themeColor="text1"/>
                <w:sz w:val="22"/>
                <w:szCs w:val="22"/>
                <w:highlight w:val="none"/>
                <w:lang w:eastAsia="en-US" w:bidi="ar-SA"/>
                <w14:textFill>
                  <w14:solidFill>
                    <w14:schemeClr w14:val="tx1"/>
                  </w14:solidFill>
                </w14:textFill>
              </w:rPr>
              <w:t xml:space="preserve"> Ventile, vane, clapete și </w:t>
            </w:r>
            <w:r>
              <w:rPr>
                <w:rFonts w:hint="default" w:ascii="Times New Roman" w:hAnsi="Times New Roman" w:eastAsia="Calibri"/>
                <w:b/>
                <w:bCs/>
                <w:color w:val="000000" w:themeColor="text1"/>
                <w:sz w:val="22"/>
                <w:szCs w:val="22"/>
                <w:highlight w:val="none"/>
                <w:lang w:eastAsia="en-US"/>
                <w14:textFill>
                  <w14:solidFill>
                    <w14:schemeClr w14:val="tx1"/>
                  </w14:solidFill>
                </w14:textFill>
              </w:rPr>
              <w:t>supape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Ventil (robinet) cu ac 15с54бк Dn15 Pn160, FE-FE (MM), din oțel</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50,0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val="en-US" w:eastAsia="en-US"/>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Ventil (robinet) cu ac</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15с54бк Dn15 Pn160</w:t>
            </w:r>
            <w:r>
              <w:rPr>
                <w:rFonts w:hint="default" w:ascii="Times New Roman" w:hAnsi="Times New Roman" w:eastAsia="Calibri"/>
                <w:color w:val="000000" w:themeColor="text1"/>
                <w:sz w:val="22"/>
                <w:szCs w:val="22"/>
                <w:highlight w:val="none"/>
                <w:lang w:eastAsia="en-US"/>
                <w14:textFill>
                  <w14:solidFill>
                    <w14:schemeClr w14:val="tx1"/>
                  </w14:solidFill>
                </w14:textFill>
              </w:rPr>
              <w:t>. Temperatura mediului de lucru:</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până la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300℃</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Filet exterior</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M22x1,5</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la ambele capete.</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Poziție de instalare: oricare. Material corp și elemete constructive: oțel cu strat galvanic de protecție. Direcție de curgere: sub serpentină.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Vană 30ч6бр Dn100 Pn10 cu flanșe</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10,0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Vană 30ч6бр Dn100 Pn10 cu flanșe. Material: fontă. Lungimea de fabricație (de montare): 230 mm. Temperatura mediului de lucru: +40℃. Tip conexiune: flanșe cu 8 (opt) găuri.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Vană de închidere 2с-29-2Н Dn200 Pn100 sudabilă, apă-abur</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1,0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Vană de închidere 2с-29-2Н Dn200 Pn100</w:t>
            </w:r>
            <w:r>
              <w:rPr>
                <w:rFonts w:hint="default" w:ascii="Times New Roman" w:hAnsi="Times New Roman" w:eastAsia="Calibri"/>
                <w:color w:val="000000" w:themeColor="text1"/>
                <w:sz w:val="22"/>
                <w:szCs w:val="22"/>
                <w:highlight w:val="none"/>
                <w:lang w:eastAsia="en-US"/>
                <w14:textFill>
                  <w14:solidFill>
                    <w14:schemeClr w14:val="tx1"/>
                  </w14:solidFill>
                </w14:textFill>
              </w:rPr>
              <w:t>. Diametrul nominal de 200 mm. Presiunea nominală de 10 MPa (100 kgf/cm2). 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emperatura nominală (max</w:t>
            </w:r>
            <w:r>
              <w:rPr>
                <w:rFonts w:hint="default" w:ascii="Times New Roman" w:hAnsi="Times New Roman" w:eastAsia="Calibri"/>
                <w:color w:val="000000" w:themeColor="text1"/>
                <w:sz w:val="22"/>
                <w:szCs w:val="22"/>
                <w:highlight w:val="none"/>
                <w:lang w:eastAsia="en-US"/>
                <w14:textFill>
                  <w14:solidFill>
                    <w14:schemeClr w14:val="tx1"/>
                  </w14:solidFill>
                </w14:textFill>
              </w:rPr>
              <w:t>imă/</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de lucru) 450℃</w:t>
            </w:r>
            <w:r>
              <w:rPr>
                <w:rFonts w:hint="default" w:ascii="Times New Roman" w:hAnsi="Times New Roman" w:eastAsia="Calibri"/>
                <w:color w:val="000000" w:themeColor="text1"/>
                <w:sz w:val="22"/>
                <w:szCs w:val="22"/>
                <w:highlight w:val="none"/>
                <w:lang w:eastAsia="en-US"/>
                <w14:textFill>
                  <w14:solidFill>
                    <w14:schemeClr w14:val="tx1"/>
                  </w14:solidFill>
                </w14:textFill>
              </w:rPr>
              <w:t>. Tip de conexiune: sub sudură. C</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orp</w:t>
            </w:r>
            <w:r>
              <w:rPr>
                <w:rFonts w:hint="default" w:ascii="Times New Roman" w:hAnsi="Times New Roman" w:eastAsia="Calibri"/>
                <w:color w:val="000000" w:themeColor="text1"/>
                <w:sz w:val="22"/>
                <w:szCs w:val="22"/>
                <w:highlight w:val="none"/>
                <w:lang w:eastAsia="en-US"/>
                <w14:textFill>
                  <w14:solidFill>
                    <w14:schemeClr w14:val="tx1"/>
                  </w14:solidFill>
                </w14:textFill>
              </w:rPr>
              <w:t>ul vanei este confecționat din</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oțel</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marca</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25Л</w:t>
            </w:r>
            <w:r>
              <w:rPr>
                <w:rFonts w:hint="default" w:ascii="Times New Roman" w:hAnsi="Times New Roman" w:eastAsia="Calibri"/>
                <w:color w:val="000000" w:themeColor="text1"/>
                <w:sz w:val="22"/>
                <w:szCs w:val="22"/>
                <w:highlight w:val="none"/>
                <w:lang w:eastAsia="en-US"/>
                <w14:textFill>
                  <w14:solidFill>
                    <w14:schemeClr w14:val="tx1"/>
                  </w14:solidFill>
                </w14:textFill>
              </w:rPr>
              <w:t>. Mediu:</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apă-abur</w:t>
            </w:r>
            <w:r>
              <w:rPr>
                <w:rFonts w:hint="default" w:ascii="Times New Roman" w:hAnsi="Times New Roman" w:eastAsia="Calibri"/>
                <w:color w:val="000000" w:themeColor="text1"/>
                <w:sz w:val="22"/>
                <w:szCs w:val="22"/>
                <w:highlight w:val="none"/>
                <w:lang w:eastAsia="en-US"/>
                <w14:textFill>
                  <w14:solidFill>
                    <w14:schemeClr w14:val="tx1"/>
                  </w14:solidFill>
                </w14:textFill>
              </w:rPr>
              <w:t>. A</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cționare</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prin</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reductor conic</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sau</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motor electric</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(servomotor)</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integra</w:t>
            </w:r>
            <w:r>
              <w:rPr>
                <w:rFonts w:hint="default" w:ascii="Times New Roman" w:hAnsi="Times New Roman" w:eastAsia="Calibri"/>
                <w:color w:val="000000" w:themeColor="text1"/>
                <w:sz w:val="22"/>
                <w:szCs w:val="22"/>
                <w:highlight w:val="none"/>
                <w:lang w:eastAsia="en-US"/>
                <w14:textFill>
                  <w14:solidFill>
                    <w14:schemeClr w14:val="tx1"/>
                  </w14:solidFill>
                </w14:textFill>
              </w:rPr>
              <w:t>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Vană din oţel 1016-250-ЦЗ Dn250 Pn100</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1,0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Vană 1016-250-ЦЗ Dn250 Pn100. Temperatura nominală (de lucru): 450℃. Corp din oțel marca 15ГС (сталь 15ГС). Mediu de lucru: apă-abur. Tip conexiune: sub sudură. Tip acționare mecanism de închidere: prin reductor (acționare manuală prin reductor).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Clapetă/ supapă de reglare 6С-13-1 Dn80 Pn100, sudabilă, apă</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2,0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Clapetă/ supapă de reglare 6С-13-1 Dn80 Pn100. Diametrul nominal de 80 mm. Presiunea nominală de 10 MPa (100 kgf/cm2). 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emperatura nominală (max</w:t>
            </w:r>
            <w:r>
              <w:rPr>
                <w:rFonts w:hint="default" w:ascii="Times New Roman" w:hAnsi="Times New Roman" w:eastAsia="Calibri"/>
                <w:color w:val="000000" w:themeColor="text1"/>
                <w:sz w:val="22"/>
                <w:szCs w:val="22"/>
                <w:highlight w:val="none"/>
                <w:lang w:eastAsia="en-US"/>
                <w14:textFill>
                  <w14:solidFill>
                    <w14:schemeClr w14:val="tx1"/>
                  </w14:solidFill>
                </w14:textFill>
              </w:rPr>
              <w:t>imă/</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de lucru) 450℃</w:t>
            </w:r>
            <w:r>
              <w:rPr>
                <w:rFonts w:hint="default" w:ascii="Times New Roman" w:hAnsi="Times New Roman" w:eastAsia="Calibri"/>
                <w:color w:val="000000" w:themeColor="text1"/>
                <w:sz w:val="22"/>
                <w:szCs w:val="22"/>
                <w:highlight w:val="none"/>
                <w:lang w:eastAsia="en-US"/>
                <w14:textFill>
                  <w14:solidFill>
                    <w14:schemeClr w14:val="tx1"/>
                  </w14:solidFill>
                </w14:textFill>
              </w:rPr>
              <w:t>. Coeficientul de debit al supapei „Kv” (maxim): 54,8 m3/h. Tip de conexiune: sub sudură. C</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orp</w:t>
            </w:r>
            <w:r>
              <w:rPr>
                <w:rFonts w:hint="default" w:ascii="Times New Roman" w:hAnsi="Times New Roman" w:eastAsia="Calibri"/>
                <w:color w:val="000000" w:themeColor="text1"/>
                <w:sz w:val="22"/>
                <w:szCs w:val="22"/>
                <w:highlight w:val="none"/>
                <w:lang w:eastAsia="en-US"/>
                <w14:textFill>
                  <w14:solidFill>
                    <w14:schemeClr w14:val="tx1"/>
                  </w14:solidFill>
                </w14:textFill>
              </w:rPr>
              <w:t>ul supapei este confecționat din</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oțel</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marca</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25Л</w:t>
            </w:r>
            <w:r>
              <w:rPr>
                <w:rFonts w:hint="default" w:ascii="Times New Roman" w:hAnsi="Times New Roman" w:eastAsia="Calibri"/>
                <w:color w:val="000000" w:themeColor="text1"/>
                <w:sz w:val="22"/>
                <w:szCs w:val="22"/>
                <w:highlight w:val="none"/>
                <w:lang w:eastAsia="en-US"/>
                <w14:textFill>
                  <w14:solidFill>
                    <w14:schemeClr w14:val="tx1"/>
                  </w14:solidFill>
                </w14:textFill>
              </w:rPr>
              <w:t>. Mediu:</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apă</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Clapetă/ supapă de reglare Т-35б Dn100 Pn100, sudabilă, apă</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1,0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val="en-US"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Clapetă/ supapă de reglare Т-35б Dn100 Pn100. Diametrul nominal de 100 mm. Presiunea nominală de 10 MPa (100 kgf/cm2). 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emperatura nominală (max</w:t>
            </w:r>
            <w:r>
              <w:rPr>
                <w:rFonts w:hint="default" w:ascii="Times New Roman" w:hAnsi="Times New Roman" w:eastAsia="Calibri"/>
                <w:color w:val="000000" w:themeColor="text1"/>
                <w:sz w:val="22"/>
                <w:szCs w:val="22"/>
                <w:highlight w:val="none"/>
                <w:lang w:eastAsia="en-US"/>
                <w14:textFill>
                  <w14:solidFill>
                    <w14:schemeClr w14:val="tx1"/>
                  </w14:solidFill>
                </w14:textFill>
              </w:rPr>
              <w:t>imă/</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de lucru) </w:t>
            </w:r>
            <w:r>
              <w:rPr>
                <w:rFonts w:hint="default" w:ascii="Times New Roman" w:hAnsi="Times New Roman" w:eastAsia="Calibri"/>
                <w:color w:val="000000" w:themeColor="text1"/>
                <w:sz w:val="22"/>
                <w:szCs w:val="22"/>
                <w:highlight w:val="none"/>
                <w:lang w:eastAsia="en-US"/>
                <w14:textFill>
                  <w14:solidFill>
                    <w14:schemeClr w14:val="tx1"/>
                  </w14:solidFill>
                </w14:textFill>
              </w:rPr>
              <w:t>30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0℃</w:t>
            </w:r>
            <w:r>
              <w:rPr>
                <w:rFonts w:hint="default" w:ascii="Times New Roman" w:hAnsi="Times New Roman" w:eastAsia="Calibri"/>
                <w:color w:val="000000" w:themeColor="text1"/>
                <w:sz w:val="22"/>
                <w:szCs w:val="22"/>
                <w:highlight w:val="none"/>
                <w:lang w:eastAsia="en-US"/>
                <w14:textFill>
                  <w14:solidFill>
                    <w14:schemeClr w14:val="tx1"/>
                  </w14:solidFill>
                </w14:textFill>
              </w:rPr>
              <w:t>. Coeficientul de debit al supapei „Kv” (maxim): 86 m3/h. Tip de conexiune: sub sudură. C</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orp</w:t>
            </w:r>
            <w:r>
              <w:rPr>
                <w:rFonts w:hint="default" w:ascii="Times New Roman" w:hAnsi="Times New Roman" w:eastAsia="Calibri"/>
                <w:color w:val="000000" w:themeColor="text1"/>
                <w:sz w:val="22"/>
                <w:szCs w:val="22"/>
                <w:highlight w:val="none"/>
                <w:lang w:eastAsia="en-US"/>
                <w14:textFill>
                  <w14:solidFill>
                    <w14:schemeClr w14:val="tx1"/>
                  </w14:solidFill>
                </w14:textFill>
              </w:rPr>
              <w:t>ul supapei este confecționat din</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oțel</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marca</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25Л</w:t>
            </w:r>
            <w:r>
              <w:rPr>
                <w:rFonts w:hint="default" w:ascii="Times New Roman" w:hAnsi="Times New Roman" w:eastAsia="Calibri"/>
                <w:color w:val="000000" w:themeColor="text1"/>
                <w:sz w:val="22"/>
                <w:szCs w:val="22"/>
                <w:highlight w:val="none"/>
                <w:lang w:eastAsia="en-US"/>
                <w14:textFill>
                  <w14:solidFill>
                    <w14:schemeClr w14:val="tx1"/>
                  </w14:solidFill>
                </w14:textFill>
              </w:rPr>
              <w:t>. Mediu:</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apă</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4"/>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Supapă de siguranță cu acțiune directă Т-131МС Dn50 Pn100, cu flanșe, abur</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2,0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Supapă de siguranță cu acțiune directă Т-131МС Dn50 Pn100. Diametrul nominal de 50 mm. Presiunea nominală de 10 MPa (100 kgf/cm2). 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emperatura nominală (max</w:t>
            </w:r>
            <w:r>
              <w:rPr>
                <w:rFonts w:hint="default" w:ascii="Times New Roman" w:hAnsi="Times New Roman" w:eastAsia="Calibri"/>
                <w:color w:val="000000" w:themeColor="text1"/>
                <w:sz w:val="22"/>
                <w:szCs w:val="22"/>
                <w:highlight w:val="none"/>
                <w:lang w:eastAsia="en-US"/>
                <w14:textFill>
                  <w14:solidFill>
                    <w14:schemeClr w14:val="tx1"/>
                  </w14:solidFill>
                </w14:textFill>
              </w:rPr>
              <w:t>imă/</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de lucru) 450℃</w:t>
            </w:r>
            <w:r>
              <w:rPr>
                <w:rFonts w:hint="default" w:ascii="Times New Roman" w:hAnsi="Times New Roman" w:eastAsia="Calibri"/>
                <w:color w:val="000000" w:themeColor="text1"/>
                <w:sz w:val="22"/>
                <w:szCs w:val="22"/>
                <w:highlight w:val="none"/>
                <w:lang w:eastAsia="en-US"/>
                <w14:textFill>
                  <w14:solidFill>
                    <w14:schemeClr w14:val="tx1"/>
                  </w14:solidFill>
                </w14:textFill>
              </w:rPr>
              <w:t>. Interval de reglare al supapei 3,5-4,5 MPa (35-45 kgf/cm2). Tip de conexiune: flanșată. C</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orp</w:t>
            </w:r>
            <w:r>
              <w:rPr>
                <w:rFonts w:hint="default" w:ascii="Times New Roman" w:hAnsi="Times New Roman" w:eastAsia="Calibri"/>
                <w:color w:val="000000" w:themeColor="text1"/>
                <w:sz w:val="22"/>
                <w:szCs w:val="22"/>
                <w:highlight w:val="none"/>
                <w:lang w:eastAsia="en-US"/>
                <w14:textFill>
                  <w14:solidFill>
                    <w14:schemeClr w14:val="tx1"/>
                  </w14:solidFill>
                </w14:textFill>
              </w:rPr>
              <w:t>ul supapei este confecționat din</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oțel</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marca</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2</w:t>
            </w:r>
            <w:r>
              <w:rPr>
                <w:rFonts w:hint="default" w:ascii="Times New Roman" w:hAnsi="Times New Roman" w:eastAsia="Calibri"/>
                <w:color w:val="000000" w:themeColor="text1"/>
                <w:sz w:val="22"/>
                <w:szCs w:val="22"/>
                <w:highlight w:val="none"/>
                <w:lang w:eastAsia="en-US"/>
                <w14:textFill>
                  <w14:solidFill>
                    <w14:schemeClr w14:val="tx1"/>
                  </w14:solidFill>
                </w14:textFill>
              </w:rPr>
              <w:t>0 (сталь 20). Mediu:</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abur</w:t>
            </w:r>
            <w:r>
              <w:rPr>
                <w:rFonts w:hint="default" w:ascii="Times New Roman" w:hAnsi="Times New Roman" w:eastAsia="Calibri"/>
                <w:color w:val="000000" w:themeColor="text1"/>
                <w:sz w:val="22"/>
                <w:szCs w:val="22"/>
                <w:highlight w:val="none"/>
                <w:lang w:eastAsia="en-US"/>
                <w14:textFill>
                  <w14:solidFill>
                    <w14:schemeClr w14:val="tx1"/>
                  </w14:solidFill>
                </w14:textFill>
              </w:rPr>
              <w:t>. Evacuează automat excesul de mediu în atmosferă în cazul în care se depășește presiunea prestabilită.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55" w:type="dxa"/>
            <w:gridSpan w:val="5"/>
            <w:shd w:val="clear" w:color="auto" w:fill="BEBEBE" w:themeFill="background1" w:themeFillShade="BF"/>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b/>
                <w:bCs/>
                <w:color w:val="000000" w:themeColor="text1"/>
                <w:sz w:val="22"/>
                <w:szCs w:val="22"/>
                <w:highlight w:val="none"/>
                <w:lang w:val="ro-RO" w:eastAsia="en-US"/>
                <w14:textFill>
                  <w14:solidFill>
                    <w14:schemeClr w14:val="tx1"/>
                  </w14:solidFill>
                </w14:textFill>
              </w:rPr>
            </w:pPr>
            <w:r>
              <w:rPr>
                <w:rFonts w:hint="default" w:ascii="Times New Roman" w:hAnsi="Times New Roman" w:eastAsia="Calibri"/>
                <w:b/>
                <w:bCs/>
                <w:color w:val="000000" w:themeColor="text1"/>
                <w:sz w:val="22"/>
                <w:szCs w:val="22"/>
                <w:highlight w:val="none"/>
                <w:lang w:val="ro-RO" w:eastAsia="en-US"/>
                <w14:textFill>
                  <w14:solidFill>
                    <w14:schemeClr w14:val="tx1"/>
                  </w14:solidFill>
                </w14:textFill>
              </w:rPr>
              <w:t xml:space="preserve">Lotul nr. </w:t>
            </w:r>
            <w:r>
              <w:rPr>
                <w:rFonts w:hint="default" w:ascii="Times New Roman" w:hAnsi="Times New Roman" w:eastAsia="Calibri"/>
                <w:b/>
                <w:bCs/>
                <w:color w:val="000000" w:themeColor="text1"/>
                <w:sz w:val="22"/>
                <w:szCs w:val="22"/>
                <w:highlight w:val="none"/>
                <w:lang w:eastAsia="en-US"/>
                <w14:textFill>
                  <w14:solidFill>
                    <w14:schemeClr w14:val="tx1"/>
                  </w14:solidFill>
                </w14:textFill>
              </w:rPr>
              <w:t>3</w:t>
            </w:r>
            <w:r>
              <w:rPr>
                <w:rFonts w:hint="default" w:ascii="Times New Roman" w:hAnsi="Times New Roman" w:eastAsia="Calibri"/>
                <w:b/>
                <w:bCs/>
                <w:color w:val="000000" w:themeColor="text1"/>
                <w:sz w:val="22"/>
                <w:szCs w:val="22"/>
                <w:highlight w:val="none"/>
                <w:lang w:val="ro-RO" w:eastAsia="en-US"/>
                <w14:textFill>
                  <w14:solidFill>
                    <w14:schemeClr w14:val="tx1"/>
                  </w14:solidFill>
                </w14:textFill>
              </w:rPr>
              <w:t>. Supape cu disc de închidere (vane tip „fluture”/ butterfly valves)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5"/>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Obturator-disc (vană tip „fluture”) Dn300 Pn25 cu reductor manual, trecere totală, sudabil</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2,0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stheme="minorBidi"/>
                <w:b w:val="0"/>
                <w:bCs w:val="0"/>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Supapă cu disc de închidere</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vană</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tip</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fluture</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Dn300 Pn25</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cu reductor manual</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recere totală</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L</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ungimea vanei -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270</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mm</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Asigură o </w:t>
            </w:r>
            <w:r>
              <w:rPr>
                <w:rFonts w:hint="default" w:ascii="Times New Roman" w:hAnsi="Times New Roman" w:eastAsia="Calibri"/>
                <w:b w:val="0"/>
                <w:bCs w:val="0"/>
                <w:color w:val="000000" w:themeColor="text1"/>
                <w:sz w:val="22"/>
                <w:szCs w:val="22"/>
                <w:highlight w:val="none"/>
                <w:lang w:val="en-US" w:eastAsia="en-US"/>
                <w14:textFill>
                  <w14:solidFill>
                    <w14:schemeClr w14:val="tx1"/>
                  </w14:solidFill>
                </w14:textFill>
              </w:rPr>
              <w:t>funcționare fiabilă la temperaturi ale agentului termic de până la 120℃.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C</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orp </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din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oțel</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marca</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P265GH</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conform SM EN 10028-2. </w:t>
            </w:r>
            <w:r>
              <w:rPr>
                <w:rFonts w:hint="default" w:ascii="Times New Roman" w:hAnsi="Times New Roman" w:eastAsia="Calibri"/>
                <w:b w:val="0"/>
                <w:bCs w:val="0"/>
                <w:color w:val="000000" w:themeColor="text1"/>
                <w:sz w:val="22"/>
                <w:szCs w:val="22"/>
                <w:highlight w:val="none"/>
                <w:lang w:eastAsia="en-US"/>
                <w14:textFill>
                  <w14:solidFill>
                    <w14:schemeClr w14:val="tx1"/>
                  </w14:solidFill>
                </w14:textFill>
              </w:rPr>
              <w:t>Disc din oțel inoxidabil. Racorduri pentru sudare cap la cap conform SM EN 12627. Pentru apă; utilizare în rețelele de termoficare.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5"/>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Obturator-disc (vană tip „fluture”) Dn400 Pn25 cu reductor manual, trecere totală, sudabil</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3,0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Supapă cu disc de închidere (vană tip „fluture”) Dn</w:t>
            </w:r>
            <w:r>
              <w:rPr>
                <w:rFonts w:hint="default" w:ascii="Times New Roman" w:hAnsi="Times New Roman" w:eastAsia="Calibri"/>
                <w:color w:val="000000" w:themeColor="text1"/>
                <w:sz w:val="22"/>
                <w:szCs w:val="22"/>
                <w:highlight w:val="none"/>
                <w:lang w:eastAsia="en-US"/>
                <w14:textFill>
                  <w14:solidFill>
                    <w14:schemeClr w14:val="tx1"/>
                  </w14:solidFill>
                </w14:textFill>
              </w:rPr>
              <w:t>4</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00 Pn25, cu reductor manual. Trecere totală. Lungimea vanei - </w:t>
            </w:r>
            <w:r>
              <w:rPr>
                <w:rFonts w:hint="default" w:ascii="Times New Roman" w:hAnsi="Times New Roman" w:eastAsia="Calibri"/>
                <w:color w:val="000000" w:themeColor="text1"/>
                <w:sz w:val="22"/>
                <w:szCs w:val="22"/>
                <w:highlight w:val="none"/>
                <w:lang w:eastAsia="en-US"/>
                <w14:textFill>
                  <w14:solidFill>
                    <w14:schemeClr w14:val="tx1"/>
                  </w14:solidFill>
                </w14:textFill>
              </w:rPr>
              <w:t>310</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mm. Asigură o funcționare fiabilă la temperaturi ale agentului termic de până la 120℃. Corp din oțel marca P265GH conform SM EN 10028-2. Disc din oțel inoxidabil. Racorduri pentru sudare cap la cap conform SM EN 12627. Pentru apă; utilizare în rețelele de termoficare.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5"/>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Obturator-disc (vană tip „fluture”) Dn500 Pn25 cu reductor manual, trecere totală, sudabil</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1,0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Supapă cu disc de închidere (vană tip „fluture”) Dn500 Pn25, cu reductor manual. Trecere totală. Lungimea vanei - 350 mm. Asigură o funcționare fiabilă la temperaturi ale agentului termic de până la 120℃. Corp din oțel marca P265GH conform SM EN 10028-2. Disc din oțel inoxidabil. Racorduri pentru sudare cap la cap conform SM EN 12627. Pentru apă; utilizare în rețelele de termoficare.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55" w:type="dxa"/>
            <w:gridSpan w:val="5"/>
            <w:shd w:val="clear" w:color="auto" w:fill="BEBEBE" w:themeFill="background1" w:themeFillShade="BF"/>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b/>
                <w:bCs/>
                <w:color w:val="000000" w:themeColor="text1"/>
                <w:sz w:val="22"/>
                <w:szCs w:val="22"/>
                <w:highlight w:val="none"/>
                <w:lang w:val="ro-RO" w:eastAsia="en-US" w:bidi="ar-SA"/>
                <w14:textFill>
                  <w14:solidFill>
                    <w14:schemeClr w14:val="tx1"/>
                  </w14:solidFill>
                </w14:textFill>
              </w:rPr>
            </w:pPr>
            <w:r>
              <w:rPr>
                <w:rFonts w:hint="default" w:ascii="Times New Roman" w:hAnsi="Times New Roman" w:eastAsia="Calibri" w:cs="Times New Roman"/>
                <w:b/>
                <w:bCs/>
                <w:color w:val="000000" w:themeColor="text1"/>
                <w:sz w:val="22"/>
                <w:szCs w:val="22"/>
                <w:highlight w:val="none"/>
                <w:lang w:val="ro-RO" w:eastAsia="en-US" w:bidi="ar-SA"/>
                <w14:textFill>
                  <w14:solidFill>
                    <w14:schemeClr w14:val="tx1"/>
                  </w14:solidFill>
                </w14:textFill>
              </w:rPr>
              <w:t>L</w:t>
            </w:r>
            <w:r>
              <w:rPr>
                <w:rFonts w:hint="default" w:ascii="Times New Roman" w:hAnsi="Times New Roman" w:eastAsia="Calibri" w:cs="Times New Roman"/>
                <w:b/>
                <w:bCs/>
                <w:color w:val="000000" w:themeColor="text1"/>
                <w:sz w:val="22"/>
                <w:szCs w:val="22"/>
                <w:highlight w:val="none"/>
                <w:lang w:eastAsia="en-US" w:bidi="ar-SA"/>
                <w14:textFill>
                  <w14:solidFill>
                    <w14:schemeClr w14:val="tx1"/>
                  </w14:solidFill>
                </w14:textFill>
              </w:rPr>
              <w:t>otul nr.</w:t>
            </w:r>
            <w:r>
              <w:rPr>
                <w:rFonts w:hint="default" w:ascii="Times New Roman" w:hAnsi="Times New Roman" w:eastAsia="Calibri" w:cs="Times New Roman"/>
                <w:b/>
                <w:bCs/>
                <w:color w:val="000000" w:themeColor="text1"/>
                <w:sz w:val="22"/>
                <w:szCs w:val="22"/>
                <w:highlight w:val="none"/>
                <w:lang w:val="ro-RO" w:eastAsia="en-US" w:bidi="ar-SA"/>
                <w14:textFill>
                  <w14:solidFill>
                    <w14:schemeClr w14:val="tx1"/>
                  </w14:solidFill>
                </w14:textFill>
              </w:rPr>
              <w:t xml:space="preserve"> </w:t>
            </w:r>
            <w:r>
              <w:rPr>
                <w:rFonts w:hint="default" w:ascii="Times New Roman" w:hAnsi="Times New Roman" w:eastAsia="Calibri" w:cs="Times New Roman"/>
                <w:b/>
                <w:bCs/>
                <w:color w:val="000000" w:themeColor="text1"/>
                <w:sz w:val="22"/>
                <w:szCs w:val="22"/>
                <w:highlight w:val="none"/>
                <w:lang w:eastAsia="en-US" w:bidi="ar-SA"/>
                <w14:textFill>
                  <w14:solidFill>
                    <w14:schemeClr w14:val="tx1"/>
                  </w14:solidFill>
                </w14:textFill>
              </w:rPr>
              <w:t>4</w:t>
            </w:r>
            <w:r>
              <w:rPr>
                <w:rFonts w:hint="default" w:ascii="Times New Roman" w:hAnsi="Times New Roman" w:eastAsia="Calibri" w:cs="Times New Roman"/>
                <w:b/>
                <w:bCs/>
                <w:color w:val="000000" w:themeColor="text1"/>
                <w:sz w:val="22"/>
                <w:szCs w:val="22"/>
                <w:highlight w:val="none"/>
                <w:lang w:val="ro-RO" w:eastAsia="en-US" w:bidi="ar-SA"/>
                <w14:textFill>
                  <w14:solidFill>
                    <w14:schemeClr w14:val="tx1"/>
                  </w14:solidFill>
                </w14:textFill>
              </w:rPr>
              <w:t>.</w:t>
            </w:r>
            <w:r>
              <w:rPr>
                <w:rFonts w:hint="default" w:ascii="Times New Roman" w:hAnsi="Times New Roman" w:eastAsia="Calibri" w:cs="Times New Roman"/>
                <w:b/>
                <w:bCs/>
                <w:color w:val="000000" w:themeColor="text1"/>
                <w:sz w:val="22"/>
                <w:szCs w:val="22"/>
                <w:highlight w:val="none"/>
                <w:lang w:eastAsia="en-US" w:bidi="ar-SA"/>
                <w14:textFill>
                  <w14:solidFill>
                    <w14:schemeClr w14:val="tx1"/>
                  </w14:solidFill>
                </w14:textFill>
              </w:rPr>
              <w:t xml:space="preserve"> </w:t>
            </w:r>
            <w:r>
              <w:rPr>
                <w:rFonts w:hint="default" w:ascii="Times New Roman" w:hAnsi="Times New Roman" w:eastAsia="Calibri"/>
                <w:b/>
                <w:bCs/>
                <w:color w:val="000000" w:themeColor="text1"/>
                <w:sz w:val="22"/>
                <w:szCs w:val="22"/>
                <w:highlight w:val="none"/>
                <w:lang w:eastAsia="en-US"/>
                <w14:textFill>
                  <w14:solidFill>
                    <w14:schemeClr w14:val="tx1"/>
                  </w14:solidFill>
                </w14:textFill>
              </w:rPr>
              <w:t>Supape de siguranță pentru stațiile de pompare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6"/>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Supapă de siguranță, cu flanșe (tip 1)</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1,0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Clapetă (supapă) de siguranță cu acționare prin presiune, de tip unidirecțională. Aceasta va asigura o funcționare fiabilă la temperaturi ale agentului termic de până la 120℃. Presiunea nominală de 16 bari. Presiunea existentă în conducta retur - 4,5 bari. Acționarea supapei de siguranță - 5,5 bari. Debitul min-max: 100-1500 m3/h. Alte caracteristici: 1) acționare rapidă; 2) fiabilitate ridicată; 3) reducerea riscului de scurgeri în timpul operării; 4) fără drenare; 5) posibilitatea de sigilare inclusă.</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Pe lângă clapeta de siguranță, operatorul economic va furniza următoarele componente și materiale:</w:t>
            </w:r>
          </w:p>
          <w:p>
            <w:pPr>
              <w:keepNext w:val="0"/>
              <w:keepLines w:val="0"/>
              <w:pageBreakBefore w:val="0"/>
              <w:widowControl/>
              <w:numPr>
                <w:ilvl w:val="0"/>
                <w:numId w:val="7"/>
              </w:numPr>
              <w:suppressAutoHyphens w:val="0"/>
              <w:kinsoku/>
              <w:wordWrap/>
              <w:overflowPunct/>
              <w:topLinePunct w:val="0"/>
              <w:autoSpaceDE/>
              <w:autoSpaceDN/>
              <w:bidi w:val="0"/>
              <w:adjustRightInd/>
              <w:snapToGrid/>
              <w:spacing w:after="0" w:line="240" w:lineRule="auto"/>
              <w:ind w:left="425" w:leftChars="0" w:right="0" w:rightChars="0" w:hanging="425"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contraflanșe corespunzătoare diametrului nominal și tipului de conexiune;</w:t>
            </w:r>
          </w:p>
          <w:p>
            <w:pPr>
              <w:keepNext w:val="0"/>
              <w:keepLines w:val="0"/>
              <w:pageBreakBefore w:val="0"/>
              <w:widowControl/>
              <w:numPr>
                <w:ilvl w:val="0"/>
                <w:numId w:val="7"/>
              </w:numPr>
              <w:suppressAutoHyphens w:val="0"/>
              <w:kinsoku/>
              <w:wordWrap/>
              <w:overflowPunct/>
              <w:topLinePunct w:val="0"/>
              <w:autoSpaceDE/>
              <w:autoSpaceDN/>
              <w:bidi w:val="0"/>
              <w:adjustRightInd/>
              <w:snapToGrid/>
              <w:spacing w:after="0" w:line="240" w:lineRule="auto"/>
              <w:ind w:left="425" w:leftChars="0" w:right="0" w:rightChars="0" w:hanging="425" w:firstLineChars="0"/>
              <w:jc w:val="both"/>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elementele de fixare (șuruburi, piulițe etc.) și produse de etanșare necesare realizării îmbinărilor flanșate (materiale gata de utilizare).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6"/>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Supapă de siguranță, cu flanșe (tip 2)</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1,0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Clapetă (supapă) de siguranță cu acționare prin presiune, de tip unidirecțională. Aceasta va asigura o funcționare fiabilă la temperaturi ale agentului termic de până la 120℃. Presiunea nominală de 16 bari. Presiunea existentă în conducta retur - 4,6 bari. Acționarea supapei de siguranță - 7,2 bari. Debitul min-max: 100-1500 m3/h. Alte caracteristici: 1) acționare rapidă; 2) fiabilitate ridicată; 3) reducerea riscului de scurgeri în timpul operării; 4) fără drenare; 5) posibilitatea de sigilare inclusă</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Pe lângă clapeta de siguranță, operatorul economic va furniza următoarele componente și materiale:</w:t>
            </w:r>
          </w:p>
          <w:p>
            <w:pPr>
              <w:keepNext w:val="0"/>
              <w:keepLines w:val="0"/>
              <w:pageBreakBefore w:val="0"/>
              <w:widowControl/>
              <w:numPr>
                <w:ilvl w:val="0"/>
                <w:numId w:val="8"/>
              </w:numPr>
              <w:suppressAutoHyphens w:val="0"/>
              <w:kinsoku/>
              <w:wordWrap/>
              <w:overflowPunct/>
              <w:topLinePunct w:val="0"/>
              <w:autoSpaceDE/>
              <w:autoSpaceDN/>
              <w:bidi w:val="0"/>
              <w:adjustRightInd/>
              <w:snapToGrid/>
              <w:spacing w:after="0" w:line="240" w:lineRule="auto"/>
              <w:ind w:left="425" w:leftChars="0" w:right="0" w:rightChars="0" w:hanging="425"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contraflanșe corespunzătoare diametrului nominal și tipului de conexiune;</w:t>
            </w:r>
          </w:p>
          <w:p>
            <w:pPr>
              <w:keepNext w:val="0"/>
              <w:keepLines w:val="0"/>
              <w:pageBreakBefore w:val="0"/>
              <w:widowControl/>
              <w:numPr>
                <w:ilvl w:val="0"/>
                <w:numId w:val="8"/>
              </w:numPr>
              <w:suppressAutoHyphens w:val="0"/>
              <w:kinsoku/>
              <w:wordWrap/>
              <w:overflowPunct/>
              <w:topLinePunct w:val="0"/>
              <w:autoSpaceDE/>
              <w:autoSpaceDN/>
              <w:bidi w:val="0"/>
              <w:adjustRightInd/>
              <w:snapToGrid/>
              <w:spacing w:after="0" w:line="240" w:lineRule="auto"/>
              <w:ind w:left="425" w:leftChars="0" w:right="0" w:rightChars="0" w:hanging="425" w:firstLineChars="0"/>
              <w:jc w:val="both"/>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elementele de fixare (șuruburi, piulițe etc.) și produse de etanșare necesare realizării îmbinărilor flanșate (materiale gata de utilizare).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655" w:type="dxa"/>
            <w:gridSpan w:val="5"/>
            <w:shd w:val="clear" w:color="auto" w:fill="BEBEBE" w:themeFill="background1" w:themeFillShade="BF"/>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Calibri"/>
                <w:b/>
                <w:bCs/>
                <w:color w:val="000000" w:themeColor="text1"/>
                <w:sz w:val="22"/>
                <w:szCs w:val="22"/>
                <w:highlight w:val="none"/>
                <w:lang w:eastAsia="en-US"/>
                <w14:textFill>
                  <w14:solidFill>
                    <w14:schemeClr w14:val="tx1"/>
                  </w14:solidFill>
                </w14:textFill>
              </w:rPr>
            </w:pPr>
            <w:r>
              <w:rPr>
                <w:rFonts w:hint="default" w:ascii="Times New Roman" w:hAnsi="Times New Roman" w:eastAsia="Calibri" w:cs="Times New Roman"/>
                <w:b/>
                <w:bCs/>
                <w:color w:val="000000" w:themeColor="text1"/>
                <w:sz w:val="22"/>
                <w:szCs w:val="22"/>
                <w:highlight w:val="none"/>
                <w:lang w:val="ro-RO" w:eastAsia="en-US" w:bidi="ar-SA"/>
                <w14:textFill>
                  <w14:solidFill>
                    <w14:schemeClr w14:val="tx1"/>
                  </w14:solidFill>
                </w14:textFill>
              </w:rPr>
              <w:t>L</w:t>
            </w:r>
            <w:r>
              <w:rPr>
                <w:rFonts w:hint="default" w:ascii="Times New Roman" w:hAnsi="Times New Roman" w:eastAsia="Calibri" w:cs="Times New Roman"/>
                <w:b/>
                <w:bCs/>
                <w:color w:val="000000" w:themeColor="text1"/>
                <w:sz w:val="22"/>
                <w:szCs w:val="22"/>
                <w:highlight w:val="none"/>
                <w:lang w:eastAsia="en-US" w:bidi="ar-SA"/>
                <w14:textFill>
                  <w14:solidFill>
                    <w14:schemeClr w14:val="tx1"/>
                  </w14:solidFill>
                </w14:textFill>
              </w:rPr>
              <w:t>otul nr.</w:t>
            </w:r>
            <w:r>
              <w:rPr>
                <w:rFonts w:hint="default" w:ascii="Times New Roman" w:hAnsi="Times New Roman" w:eastAsia="Calibri" w:cs="Times New Roman"/>
                <w:b/>
                <w:bCs/>
                <w:color w:val="000000" w:themeColor="text1"/>
                <w:sz w:val="22"/>
                <w:szCs w:val="22"/>
                <w:highlight w:val="none"/>
                <w:lang w:val="ro-RO" w:eastAsia="en-US" w:bidi="ar-SA"/>
                <w14:textFill>
                  <w14:solidFill>
                    <w14:schemeClr w14:val="tx1"/>
                  </w14:solidFill>
                </w14:textFill>
              </w:rPr>
              <w:t xml:space="preserve"> </w:t>
            </w:r>
            <w:r>
              <w:rPr>
                <w:rFonts w:hint="default" w:ascii="Times New Roman" w:hAnsi="Times New Roman" w:eastAsia="Calibri" w:cs="Times New Roman"/>
                <w:b/>
                <w:bCs/>
                <w:color w:val="000000" w:themeColor="text1"/>
                <w:sz w:val="22"/>
                <w:szCs w:val="22"/>
                <w:highlight w:val="none"/>
                <w:lang w:eastAsia="en-US" w:bidi="ar-SA"/>
                <w14:textFill>
                  <w14:solidFill>
                    <w14:schemeClr w14:val="tx1"/>
                  </w14:solidFill>
                </w14:textFill>
              </w:rPr>
              <w:t>5</w:t>
            </w:r>
            <w:r>
              <w:rPr>
                <w:rFonts w:hint="default" w:ascii="Times New Roman" w:hAnsi="Times New Roman" w:eastAsia="Calibri" w:cs="Times New Roman"/>
                <w:b/>
                <w:bCs/>
                <w:color w:val="000000" w:themeColor="text1"/>
                <w:sz w:val="22"/>
                <w:szCs w:val="22"/>
                <w:highlight w:val="none"/>
                <w:lang w:val="ro-RO" w:eastAsia="en-US" w:bidi="ar-SA"/>
                <w14:textFill>
                  <w14:solidFill>
                    <w14:schemeClr w14:val="tx1"/>
                  </w14:solidFill>
                </w14:textFill>
              </w:rPr>
              <w:t>.</w:t>
            </w:r>
            <w:r>
              <w:rPr>
                <w:rFonts w:hint="default" w:ascii="Times New Roman" w:hAnsi="Times New Roman" w:eastAsia="Calibri" w:cs="Times New Roman"/>
                <w:b/>
                <w:bCs/>
                <w:color w:val="000000" w:themeColor="text1"/>
                <w:sz w:val="22"/>
                <w:szCs w:val="22"/>
                <w:highlight w:val="none"/>
                <w:lang w:eastAsia="en-US" w:bidi="ar-SA"/>
                <w14:textFill>
                  <w14:solidFill>
                    <w14:schemeClr w14:val="tx1"/>
                  </w14:solidFill>
                </w14:textFill>
              </w:rPr>
              <w:t xml:space="preserve"> </w:t>
            </w:r>
            <w:r>
              <w:rPr>
                <w:rFonts w:hint="default" w:ascii="Times New Roman" w:hAnsi="Times New Roman" w:eastAsia="Calibri"/>
                <w:b/>
                <w:bCs/>
                <w:color w:val="000000" w:themeColor="text1"/>
                <w:sz w:val="22"/>
                <w:szCs w:val="22"/>
                <w:highlight w:val="none"/>
                <w:lang w:eastAsia="en-US"/>
                <w14:textFill>
                  <w14:solidFill>
                    <w14:schemeClr w14:val="tx1"/>
                  </w14:solidFill>
                </w14:textFill>
              </w:rPr>
              <w:t>Clapete cu regulatoare de presiune</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Calibri"/>
                <w:i/>
                <w:iCs/>
                <w:color w:val="000000" w:themeColor="text1"/>
                <w:sz w:val="22"/>
                <w:szCs w:val="22"/>
                <w:highlight w:val="none"/>
                <w:lang w:eastAsia="en-US"/>
                <w14:textFill>
                  <w14:solidFill>
                    <w14:schemeClr w14:val="tx1"/>
                  </w14:solidFill>
                </w14:textFill>
              </w:rPr>
            </w:pPr>
            <w:r>
              <w:rPr>
                <w:rFonts w:hint="default" w:ascii="Times New Roman" w:hAnsi="Times New Roman" w:eastAsia="Calibri"/>
                <w:b/>
                <w:bCs/>
                <w:color w:val="000000" w:themeColor="text1"/>
                <w:sz w:val="22"/>
                <w:szCs w:val="22"/>
                <w:highlight w:val="none"/>
                <w:lang w:eastAsia="en-US"/>
                <w14:textFill>
                  <w14:solidFill>
                    <w14:schemeClr w14:val="tx1"/>
                  </w14:solidFill>
                </w14:textFill>
              </w:rPr>
              <w:t>pentru stațiile de pompare și pentru punctele de retenție și reglare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9"/>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Clapetă cu regulator</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de</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presiune</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integrat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până la sine</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în amonte</w:t>
            </w:r>
            <w:r>
              <w:rPr>
                <w:rFonts w:hint="default" w:ascii="Times New Roman" w:hAnsi="Times New Roman" w:eastAsia="Calibri"/>
                <w:color w:val="000000" w:themeColor="text1"/>
                <w:sz w:val="22"/>
                <w:szCs w:val="22"/>
                <w:highlight w:val="none"/>
                <w:lang w:eastAsia="en-US"/>
                <w14:textFill>
                  <w14:solidFill>
                    <w14:schemeClr w14:val="tx1"/>
                  </w14:solidFill>
                </w14:textFill>
              </w:rPr>
              <w:t>), cu membrană</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Dn200 Pn16 Kvs=650m3/h, </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cu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contraflanșe</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și set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piese</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de</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schimb</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1,0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Clapetă cu regulator de presiune integrat până la sine, cu diametrul nominal (Dn) de 200 mm și presiunea nominală (Pn) de 16 bari. Echipamentul va asigura o funcționare fiabilă la temperaturi ale agentului termic de până la 120℃. Regulatorul de presiune este produs din componente rezistente la depunerile de calcar și coroziune sau mai performante. Acesta funcționează independent, fără sursă de energie externă. Compensare prin membrană.</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Regulatorul va acționa automat pentru a menține presiunea agentului termic în conducta retur. Presiunea existentă în conducta retur: 0,8 bari; presiunea necesară pentru menținere în conductă: 3,8 bari. Diapazon de reglare: 2,4-6,6 bari. Fără drenarea agentului termic. Debitul min-max: 25-250 m3/h.</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Pe lângă regulatorul de presiune, operatorul economic va furniza următoarele componente și materiale:</w:t>
            </w:r>
          </w:p>
          <w:p>
            <w:pPr>
              <w:keepNext w:val="0"/>
              <w:keepLines w:val="0"/>
              <w:pageBreakBefore w:val="0"/>
              <w:widowControl/>
              <w:numPr>
                <w:ilvl w:val="0"/>
                <w:numId w:val="10"/>
              </w:numPr>
              <w:suppressAutoHyphens w:val="0"/>
              <w:kinsoku/>
              <w:wordWrap/>
              <w:overflowPunct/>
              <w:topLinePunct w:val="0"/>
              <w:autoSpaceDE/>
              <w:autoSpaceDN/>
              <w:bidi w:val="0"/>
              <w:adjustRightInd/>
              <w:snapToGrid/>
              <w:spacing w:after="0" w:line="240" w:lineRule="auto"/>
              <w:ind w:left="425" w:leftChars="0" w:right="0" w:rightChars="0" w:hanging="425"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contraflanșe corespunzătoare diametrului nominal DN 200 și tipului de conexiune;</w:t>
            </w:r>
          </w:p>
          <w:p>
            <w:pPr>
              <w:keepNext w:val="0"/>
              <w:keepLines w:val="0"/>
              <w:pageBreakBefore w:val="0"/>
              <w:widowControl/>
              <w:numPr>
                <w:ilvl w:val="0"/>
                <w:numId w:val="10"/>
              </w:numPr>
              <w:suppressAutoHyphens w:val="0"/>
              <w:kinsoku/>
              <w:wordWrap/>
              <w:overflowPunct/>
              <w:topLinePunct w:val="0"/>
              <w:autoSpaceDE/>
              <w:autoSpaceDN/>
              <w:bidi w:val="0"/>
              <w:adjustRightInd/>
              <w:snapToGrid/>
              <w:spacing w:after="0" w:line="240" w:lineRule="auto"/>
              <w:ind w:left="425" w:leftChars="0" w:right="0" w:rightChars="0" w:hanging="425"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elementele de fixare (șuruburi, piulițe etc.) și produse de etanșare necesare realizării îmbinărilor flanșate (materiale gata de utilizare);</w:t>
            </w:r>
          </w:p>
          <w:p>
            <w:pPr>
              <w:keepNext w:val="0"/>
              <w:keepLines w:val="0"/>
              <w:pageBreakBefore w:val="0"/>
              <w:widowControl/>
              <w:numPr>
                <w:ilvl w:val="0"/>
                <w:numId w:val="10"/>
              </w:numPr>
              <w:suppressAutoHyphens w:val="0"/>
              <w:kinsoku/>
              <w:wordWrap/>
              <w:overflowPunct/>
              <w:topLinePunct w:val="0"/>
              <w:autoSpaceDE/>
              <w:autoSpaceDN/>
              <w:bidi w:val="0"/>
              <w:adjustRightInd/>
              <w:snapToGrid/>
              <w:spacing w:after="0" w:line="240" w:lineRule="auto"/>
              <w:ind w:left="425" w:leftChars="0" w:right="0" w:rightChars="0" w:hanging="425"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pachet de piese de schimb inițial, destinate primelor intervenții de întreținere curentă, stabilite în conformitate cu documentația tehnică și recomandările producătorului.</w:t>
            </w:r>
          </w:p>
          <w:p>
            <w:pPr>
              <w:keepNext w:val="0"/>
              <w:keepLines w:val="0"/>
              <w:pageBreakBefore w:val="0"/>
              <w:widowControl/>
              <w:numPr>
                <w:ilvl w:val="0"/>
                <w:numId w:val="0"/>
              </w:numPr>
              <w:suppressAutoHyphens w:val="0"/>
              <w:kinsoku/>
              <w:wordWrap/>
              <w:overflowPunct/>
              <w:topLinePunct w:val="0"/>
              <w:autoSpaceDE/>
              <w:autoSpaceDN/>
              <w:bidi w:val="0"/>
              <w:adjustRightInd/>
              <w:snapToGrid/>
              <w:spacing w:after="0" w:line="240" w:lineRule="auto"/>
              <w:ind w:right="0" w:right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La livrarea regulatoarelor de presiune, Furnizorul trebuie să prezinte un angajament scris, în original, emis de către producătorul echipamentului sau de către un reprezentant autorizat al acestuia, privind asigurarea disponibilității pe piață a pieselor de schimb pe întreaga durată de viață a echipamentului, dar nu mai mică de 20 (douăzeci) de ani.</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xml:space="preserve">Техническое наименование товара на русском и румынском языке </w:t>
            </w:r>
            <w:r>
              <w:rPr>
                <w:rFonts w:hint="default" w:ascii="Times New Roman" w:hAnsi="Times New Roman" w:eastAsia="Calibri"/>
                <w:b/>
                <w:bCs/>
                <w:i/>
                <w:iCs/>
                <w:color w:val="000000" w:themeColor="text1"/>
                <w:sz w:val="22"/>
                <w:szCs w:val="22"/>
                <w:highlight w:val="none"/>
                <w:lang w:eastAsia="en-US"/>
                <w14:textFill>
                  <w14:solidFill>
                    <w14:schemeClr w14:val="tx1"/>
                  </w14:solidFill>
                </w14:textFill>
              </w:rPr>
              <w:t>«регулятор давлегия мембранный»</w:t>
            </w: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xml:space="preserve">, respectiv </w:t>
            </w:r>
            <w:r>
              <w:rPr>
                <w:rFonts w:hint="default" w:ascii="Times New Roman" w:hAnsi="Times New Roman" w:eastAsia="Calibri"/>
                <w:b/>
                <w:bCs/>
                <w:i/>
                <w:iCs/>
                <w:color w:val="000000" w:themeColor="text1"/>
                <w:sz w:val="22"/>
                <w:szCs w:val="22"/>
                <w:highlight w:val="none"/>
                <w:lang w:eastAsia="en-US"/>
                <w14:textFill>
                  <w14:solidFill>
                    <w14:schemeClr w14:val="tx1"/>
                  </w14:solidFill>
                </w14:textFill>
              </w:rPr>
              <w:t>„regulator de presiune cu membrană”.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9"/>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stheme="minorBidi"/>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Clapetă cu regulator presiune</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până la sine</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în amonte</w:t>
            </w:r>
            <w:r>
              <w:rPr>
                <w:rFonts w:hint="default" w:ascii="Times New Roman" w:hAnsi="Times New Roman" w:eastAsia="Calibri"/>
                <w:color w:val="000000" w:themeColor="text1"/>
                <w:sz w:val="22"/>
                <w:szCs w:val="22"/>
                <w:highlight w:val="none"/>
                <w:lang w:eastAsia="en-US"/>
                <w14:textFill>
                  <w14:solidFill>
                    <w14:schemeClr w14:val="tx1"/>
                  </w14:solidFill>
                </w14:textFill>
              </w:rPr>
              <w:t>), cu membrană</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Dn250 Pn16</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Kvs=800m3/h</w:t>
            </w:r>
            <w:r>
              <w:rPr>
                <w:rFonts w:hint="default" w:ascii="Times New Roman" w:hAnsi="Times New Roman" w:eastAsia="Calibri"/>
                <w:color w:val="000000" w:themeColor="text1"/>
                <w:sz w:val="22"/>
                <w:szCs w:val="22"/>
                <w:highlight w:val="none"/>
                <w:lang w:eastAsia="en-US"/>
                <w14:textFill>
                  <w14:solidFill>
                    <w14:schemeClr w14:val="tx1"/>
                  </w14:solidFill>
                </w14:textFill>
              </w:rPr>
              <w:t>, cu</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contraflanșe</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și set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piese</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de</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schimb</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1,0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Clapetă cu regulator de presiune integrat până la sine, cu diametrul nominal (Dn) de 250 mm și presiunea nominală (Pn) de 16 bari. Echipamentul va asigura o funcționare fiabilă la temperaturi ale agentului termic de până la 120℃. Regulatorul de presiune este produs din componente rezistente la depunerile de calcar și coroziune sau mai performante. Acesta funcționează independent, fără sursă de energie externă. Compensare prin membrană.</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Regulatorul va acționa automat pentru a menține presiunea agentului termic în conducta retur. Presiunea existentă în conducta retur: 1,2 bari; presiunea necesară pentru menținere în conductă: 4,3 bari. Diapazon de reglare: 2,4-6,6 bari. Fără drenarea agentului termic. Debitul min-max: 45-700 m3/h.</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Pe lângă regulatorul de presiune, operatorul economic va furniza următoarele componente și materiale:</w:t>
            </w:r>
          </w:p>
          <w:p>
            <w:pPr>
              <w:keepNext w:val="0"/>
              <w:keepLines w:val="0"/>
              <w:pageBreakBefore w:val="0"/>
              <w:widowControl/>
              <w:numPr>
                <w:ilvl w:val="0"/>
                <w:numId w:val="11"/>
              </w:numPr>
              <w:suppressAutoHyphens w:val="0"/>
              <w:kinsoku/>
              <w:wordWrap/>
              <w:overflowPunct/>
              <w:topLinePunct w:val="0"/>
              <w:autoSpaceDE/>
              <w:autoSpaceDN/>
              <w:bidi w:val="0"/>
              <w:adjustRightInd/>
              <w:snapToGrid/>
              <w:spacing w:after="0" w:line="240" w:lineRule="auto"/>
              <w:ind w:left="425" w:leftChars="0" w:right="0" w:rightChars="0" w:hanging="425"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contraflanșe corespunzătoare diametrului nominal DN 250 și tipului de conexiune;</w:t>
            </w:r>
          </w:p>
          <w:p>
            <w:pPr>
              <w:keepNext w:val="0"/>
              <w:keepLines w:val="0"/>
              <w:pageBreakBefore w:val="0"/>
              <w:widowControl/>
              <w:numPr>
                <w:ilvl w:val="0"/>
                <w:numId w:val="11"/>
              </w:numPr>
              <w:suppressAutoHyphens w:val="0"/>
              <w:kinsoku/>
              <w:wordWrap/>
              <w:overflowPunct/>
              <w:topLinePunct w:val="0"/>
              <w:autoSpaceDE/>
              <w:autoSpaceDN/>
              <w:bidi w:val="0"/>
              <w:adjustRightInd/>
              <w:snapToGrid/>
              <w:spacing w:after="0" w:line="240" w:lineRule="auto"/>
              <w:ind w:left="425" w:leftChars="0" w:right="0" w:rightChars="0" w:hanging="425"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elementele de fixare (șuruburi, piulițe etc.) și produse de etanșare necesare realizării îmbinărilor flanșate (materiale gata de utilizare);</w:t>
            </w:r>
          </w:p>
          <w:p>
            <w:pPr>
              <w:keepNext w:val="0"/>
              <w:keepLines w:val="0"/>
              <w:pageBreakBefore w:val="0"/>
              <w:widowControl/>
              <w:numPr>
                <w:ilvl w:val="0"/>
                <w:numId w:val="11"/>
              </w:numPr>
              <w:suppressAutoHyphens w:val="0"/>
              <w:kinsoku/>
              <w:wordWrap/>
              <w:overflowPunct/>
              <w:topLinePunct w:val="0"/>
              <w:autoSpaceDE/>
              <w:autoSpaceDN/>
              <w:bidi w:val="0"/>
              <w:adjustRightInd/>
              <w:snapToGrid/>
              <w:spacing w:after="0" w:line="240" w:lineRule="auto"/>
              <w:ind w:left="425" w:leftChars="0" w:right="0" w:rightChars="0" w:hanging="425"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pachet de piese de schimb inițial, destinate primelor intervenții de întreținere curentă, stabilite în conformitate cu documentația tehnică și recomandările producătorului.</w:t>
            </w:r>
          </w:p>
          <w:p>
            <w:pPr>
              <w:keepNext w:val="0"/>
              <w:keepLines w:val="0"/>
              <w:pageBreakBefore w:val="0"/>
              <w:widowControl/>
              <w:numPr>
                <w:ilvl w:val="0"/>
                <w:numId w:val="0"/>
              </w:numPr>
              <w:suppressAutoHyphens w:val="0"/>
              <w:kinsoku/>
              <w:wordWrap/>
              <w:overflowPunct/>
              <w:topLinePunct w:val="0"/>
              <w:autoSpaceDE/>
              <w:autoSpaceDN/>
              <w:bidi w:val="0"/>
              <w:adjustRightInd/>
              <w:snapToGrid/>
              <w:spacing w:after="0" w:line="240" w:lineRule="auto"/>
              <w:ind w:right="0" w:right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La livrarea regulatoarelor de presiune, Furnizorul trebuie să prezinte un angajament scris, în original, emis de către producătorul echipamentului sau de către un reprezentant autorizat al acestuia, privind asigurarea disponibilității pe piață a pieselor de schimb pe întreaga durată de viață a echipamentului, dar nu mai mică de 20 (douăzeci) de ani.</w:t>
            </w:r>
          </w:p>
          <w:p>
            <w:pPr>
              <w:keepNext w:val="0"/>
              <w:keepLines w:val="0"/>
              <w:pageBreakBefore w:val="0"/>
              <w:widowControl/>
              <w:numPr>
                <w:ilvl w:val="0"/>
                <w:numId w:val="0"/>
              </w:numPr>
              <w:suppressAutoHyphens w:val="0"/>
              <w:kinsoku/>
              <w:wordWrap/>
              <w:overflowPunct/>
              <w:topLinePunct w:val="0"/>
              <w:autoSpaceDE/>
              <w:autoSpaceDN/>
              <w:bidi w:val="0"/>
              <w:adjustRightInd/>
              <w:snapToGrid/>
              <w:spacing w:after="0" w:line="240" w:lineRule="auto"/>
              <w:ind w:right="0" w:right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p>
          <w:p>
            <w:pPr>
              <w:keepNext w:val="0"/>
              <w:keepLines w:val="0"/>
              <w:pageBreakBefore w:val="0"/>
              <w:widowControl/>
              <w:numPr>
                <w:ilvl w:val="0"/>
                <w:numId w:val="0"/>
              </w:numPr>
              <w:suppressAutoHyphens w:val="0"/>
              <w:kinsoku/>
              <w:wordWrap/>
              <w:overflowPunct/>
              <w:topLinePunct w:val="0"/>
              <w:autoSpaceDE/>
              <w:autoSpaceDN/>
              <w:bidi w:val="0"/>
              <w:adjustRightInd/>
              <w:snapToGrid/>
              <w:spacing w:after="0" w:line="240" w:lineRule="auto"/>
              <w:ind w:right="0" w:rightChars="0"/>
              <w:jc w:val="both"/>
              <w:textAlignment w:val="auto"/>
              <w:rPr>
                <w:rFonts w:hint="default" w:ascii="Times New Roman" w:hAnsi="Times New Roman" w:eastAsia="Calibri"/>
                <w:color w:val="000000" w:themeColor="text1"/>
                <w:sz w:val="22"/>
                <w:szCs w:val="22"/>
                <w:highlight w:val="none"/>
                <w:lang w:val="en-US" w:eastAsia="en-US"/>
                <w14:textFill>
                  <w14:solidFill>
                    <w14:schemeClr w14:val="tx1"/>
                  </w14:solidFill>
                </w14:textFill>
              </w:rPr>
            </w:pP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xml:space="preserve">Техническое наименование товара на русском и румынском языке </w:t>
            </w:r>
            <w:r>
              <w:rPr>
                <w:rFonts w:hint="default" w:ascii="Times New Roman" w:hAnsi="Times New Roman" w:eastAsia="Calibri"/>
                <w:b/>
                <w:bCs/>
                <w:i/>
                <w:iCs/>
                <w:color w:val="000000" w:themeColor="text1"/>
                <w:sz w:val="22"/>
                <w:szCs w:val="22"/>
                <w:highlight w:val="none"/>
                <w:lang w:eastAsia="en-US"/>
                <w14:textFill>
                  <w14:solidFill>
                    <w14:schemeClr w14:val="tx1"/>
                  </w14:solidFill>
                </w14:textFill>
              </w:rPr>
              <w:t>«регулятор давлегия мембранный»</w:t>
            </w: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xml:space="preserve">, respectiv </w:t>
            </w:r>
            <w:r>
              <w:rPr>
                <w:rFonts w:hint="default" w:ascii="Times New Roman" w:hAnsi="Times New Roman" w:eastAsia="Calibri"/>
                <w:b/>
                <w:bCs/>
                <w:i/>
                <w:iCs/>
                <w:color w:val="000000" w:themeColor="text1"/>
                <w:sz w:val="22"/>
                <w:szCs w:val="22"/>
                <w:highlight w:val="none"/>
                <w:lang w:eastAsia="en-US"/>
                <w14:textFill>
                  <w14:solidFill>
                    <w14:schemeClr w14:val="tx1"/>
                  </w14:solidFill>
                </w14:textFill>
              </w:rPr>
              <w:t>„regulator de presiune cu membrană”.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9"/>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highlight w:val="none"/>
                <w:lang w:val="en-US" w:eastAsia="en-US"/>
                <w14:textFill>
                  <w14:solidFill>
                    <w14:schemeClr w14:val="tx1"/>
                  </w14:solidFill>
                </w14:textFill>
              </w:rPr>
            </w:pP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Clapetă cu regulator presiune</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până la sine</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în amonte</w:t>
            </w:r>
            <w:r>
              <w:rPr>
                <w:rFonts w:hint="default" w:ascii="Times New Roman" w:hAnsi="Times New Roman" w:eastAsia="Calibri"/>
                <w:color w:val="000000" w:themeColor="text1"/>
                <w:sz w:val="22"/>
                <w:szCs w:val="22"/>
                <w:highlight w:val="none"/>
                <w:lang w:eastAsia="en-US"/>
                <w14:textFill>
                  <w14:solidFill>
                    <w14:schemeClr w14:val="tx1"/>
                  </w14:solidFill>
                </w14:textFill>
              </w:rPr>
              <w:t>), cu membrană</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Dn250 Pn16 Kvs=800m3/h,</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cu</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contraflanșe</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și set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piese</w:t>
            </w:r>
            <w:r>
              <w:rPr>
                <w:rFonts w:hint="default" w:ascii="Times New Roman" w:hAnsi="Times New Roman" w:eastAsia="Calibri"/>
                <w:color w:val="000000" w:themeColor="text1"/>
                <w:sz w:val="22"/>
                <w:szCs w:val="22"/>
                <w:highlight w:val="none"/>
                <w:lang w:eastAsia="en-US"/>
                <w14:textFill>
                  <w14:solidFill>
                    <w14:schemeClr w14:val="tx1"/>
                  </w14:solidFill>
                </w14:textFill>
              </w:rPr>
              <w:t xml:space="preserve"> de</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schimb</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1,0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Clapetă cu regulator de presiune integrat până la sine, cu diametrul nominal (Dn) de 250 mm și presiunea nominală (Pn) de 16 bari. Echipamentul va asigura o funcționare fiabilă la temperaturi ale agentului termic de până la 120℃. Regulatorul de presiune este produs din componente rezistente la depunerile de calcar și coroziune sau mai performante. Acesta funcționează independent, fără sursă de energie externă. Compensare prin membrană.</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Regulatorul va acționa automat pentru a menține presiunea agentului termic în conducta retur. Presiunea existentă în conducta retur: 2,2 bari; presiunea necesară pentru menținere în conductă: 4,3 bari. Diapazon de reglare: 2,4-6,6 bari. Fără drenarea agentului termic. Debitul min-max: 30-425 m3/h.</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Pe lângă regulatorul de presiune, operatorul economic va furniza următoarele componente și materiale:</w:t>
            </w:r>
          </w:p>
          <w:p>
            <w:pPr>
              <w:keepNext w:val="0"/>
              <w:keepLines w:val="0"/>
              <w:pageBreakBefore w:val="0"/>
              <w:widowControl/>
              <w:numPr>
                <w:ilvl w:val="0"/>
                <w:numId w:val="12"/>
              </w:numPr>
              <w:suppressAutoHyphens w:val="0"/>
              <w:kinsoku/>
              <w:wordWrap/>
              <w:overflowPunct/>
              <w:topLinePunct w:val="0"/>
              <w:autoSpaceDE/>
              <w:autoSpaceDN/>
              <w:bidi w:val="0"/>
              <w:adjustRightInd/>
              <w:snapToGrid/>
              <w:spacing w:after="0" w:line="240" w:lineRule="auto"/>
              <w:ind w:left="425" w:leftChars="0" w:right="0" w:rightChars="0" w:hanging="425"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contraflanșe corespunzătoare diametrului nominal DN 250 și tipului de conexiune;</w:t>
            </w:r>
          </w:p>
          <w:p>
            <w:pPr>
              <w:keepNext w:val="0"/>
              <w:keepLines w:val="0"/>
              <w:pageBreakBefore w:val="0"/>
              <w:widowControl/>
              <w:numPr>
                <w:ilvl w:val="0"/>
                <w:numId w:val="12"/>
              </w:numPr>
              <w:suppressAutoHyphens w:val="0"/>
              <w:kinsoku/>
              <w:wordWrap/>
              <w:overflowPunct/>
              <w:topLinePunct w:val="0"/>
              <w:autoSpaceDE/>
              <w:autoSpaceDN/>
              <w:bidi w:val="0"/>
              <w:adjustRightInd/>
              <w:snapToGrid/>
              <w:spacing w:after="0" w:line="240" w:lineRule="auto"/>
              <w:ind w:left="425" w:leftChars="0" w:right="0" w:rightChars="0" w:hanging="425"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elementele de fixare (șuruburi, piulițe etc.) și produse de etanșare necesare realizării îmbinărilor flanșate (materiale gata de utilizare);</w:t>
            </w:r>
          </w:p>
          <w:p>
            <w:pPr>
              <w:keepNext w:val="0"/>
              <w:keepLines w:val="0"/>
              <w:pageBreakBefore w:val="0"/>
              <w:widowControl/>
              <w:numPr>
                <w:ilvl w:val="0"/>
                <w:numId w:val="12"/>
              </w:numPr>
              <w:suppressAutoHyphens w:val="0"/>
              <w:kinsoku/>
              <w:wordWrap/>
              <w:overflowPunct/>
              <w:topLinePunct w:val="0"/>
              <w:autoSpaceDE/>
              <w:autoSpaceDN/>
              <w:bidi w:val="0"/>
              <w:adjustRightInd/>
              <w:snapToGrid/>
              <w:spacing w:after="0" w:line="240" w:lineRule="auto"/>
              <w:ind w:left="425" w:leftChars="0" w:right="0" w:rightChars="0" w:hanging="425"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pachet de piese de schimb inițial, destinate primelor intervenții de întreținere curentă, stabilite în conformitate cu documentația tehnică și recomandările producătorului.</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La livrarea regulatoarelor de presiune, Furnizorul trebuie să prezinte un angajament scris, în original, emis de către producătorul echipamentului sau de către un reprezentant autorizat al acestuia, privind asigurarea disponibilității pe piață a pieselor de schimb pe întreaga durată de viață a echipamentului, dar nu mai mică de 20 (douăzeci) de ani.</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val="en-US" w:eastAsia="en-US"/>
                <w14:textFill>
                  <w14:solidFill>
                    <w14:schemeClr w14:val="tx1"/>
                  </w14:solidFill>
                </w14:textFill>
              </w:rPr>
            </w:pP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xml:space="preserve">Техническое наименование товара на русском и румынском языке </w:t>
            </w:r>
            <w:r>
              <w:rPr>
                <w:rFonts w:hint="default" w:ascii="Times New Roman" w:hAnsi="Times New Roman" w:eastAsia="Calibri"/>
                <w:b/>
                <w:bCs/>
                <w:i/>
                <w:iCs/>
                <w:color w:val="000000" w:themeColor="text1"/>
                <w:sz w:val="22"/>
                <w:szCs w:val="22"/>
                <w:highlight w:val="none"/>
                <w:lang w:eastAsia="en-US"/>
                <w14:textFill>
                  <w14:solidFill>
                    <w14:schemeClr w14:val="tx1"/>
                  </w14:solidFill>
                </w14:textFill>
              </w:rPr>
              <w:t>«регулятор давлегия мембранный»</w:t>
            </w: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xml:space="preserve">, respectiv </w:t>
            </w:r>
            <w:r>
              <w:rPr>
                <w:rFonts w:hint="default" w:ascii="Times New Roman" w:hAnsi="Times New Roman" w:eastAsia="Calibri"/>
                <w:b/>
                <w:bCs/>
                <w:i/>
                <w:iCs/>
                <w:color w:val="000000" w:themeColor="text1"/>
                <w:sz w:val="22"/>
                <w:szCs w:val="22"/>
                <w:highlight w:val="none"/>
                <w:lang w:eastAsia="en-US"/>
                <w14:textFill>
                  <w14:solidFill>
                    <w14:schemeClr w14:val="tx1"/>
                  </w14:solidFill>
                </w14:textFill>
              </w:rPr>
              <w:t>„regulator de presiune cu membrană”.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9"/>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Clapetă cu regulator presiune până la sine</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în amonte</w:t>
            </w:r>
            <w:r>
              <w:rPr>
                <w:rFonts w:hint="default" w:ascii="Times New Roman" w:hAnsi="Times New Roman" w:eastAsia="Calibri"/>
                <w:color w:val="000000" w:themeColor="text1"/>
                <w:sz w:val="22"/>
                <w:szCs w:val="22"/>
                <w:highlight w:val="none"/>
                <w:lang w:eastAsia="en-US"/>
                <w14:textFill>
                  <w14:solidFill>
                    <w14:schemeClr w14:val="tx1"/>
                  </w14:solidFill>
                </w14:textFill>
              </w:rPr>
              <w:t>), cu membrană Dn400 Pn16 Kvs=2000m3/h, cu contraflanșe și set piese de schimb</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1,0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Clapetă cu regulator de presiune integrat până la sine, cu diametrul nominal (Dn) de 400 mm și presiunea nominală (Pn) de 16 bari. Echipamentul va asigura o funcționare fiabilă la temperaturi ale agentului termic de până la 120℃. Regulatorul de presiune este produs din componente rezistente la depunerile de calcar și coroziune sau mai performante. Acesta funcționează independent, fără sursă de energie externă. Compensare prin membrană.</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Regulatorul va acționa automat pentru a menține presiunea agentului termic în conducta retur. Presiunea existentă în conducta retur: 3,5 bari; presiunea necesară pentru menținere în conductă: 4,8 bari. Diapazon de reglare: 2,4-6,6 bari. Fără drenarea agentului termic. Debitul min-max: 80-1150 m3/h.</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Pe lângă regulatorul de presiune, operatorul economic va furniza următoarele componente și materiale:</w:t>
            </w:r>
          </w:p>
          <w:p>
            <w:pPr>
              <w:keepNext w:val="0"/>
              <w:keepLines w:val="0"/>
              <w:pageBreakBefore w:val="0"/>
              <w:widowControl/>
              <w:numPr>
                <w:ilvl w:val="0"/>
                <w:numId w:val="13"/>
              </w:numPr>
              <w:suppressAutoHyphens w:val="0"/>
              <w:kinsoku/>
              <w:wordWrap/>
              <w:overflowPunct/>
              <w:topLinePunct w:val="0"/>
              <w:autoSpaceDE/>
              <w:autoSpaceDN/>
              <w:bidi w:val="0"/>
              <w:adjustRightInd/>
              <w:snapToGrid/>
              <w:spacing w:after="0" w:line="240" w:lineRule="auto"/>
              <w:ind w:left="425" w:leftChars="0" w:right="0" w:rightChars="0" w:hanging="425"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contraflanșe corespunzătoare diametrului nominal DN 400 și tipului de conexiune;</w:t>
            </w:r>
          </w:p>
          <w:p>
            <w:pPr>
              <w:keepNext w:val="0"/>
              <w:keepLines w:val="0"/>
              <w:pageBreakBefore w:val="0"/>
              <w:widowControl/>
              <w:numPr>
                <w:ilvl w:val="0"/>
                <w:numId w:val="13"/>
              </w:numPr>
              <w:suppressAutoHyphens w:val="0"/>
              <w:kinsoku/>
              <w:wordWrap/>
              <w:overflowPunct/>
              <w:topLinePunct w:val="0"/>
              <w:autoSpaceDE/>
              <w:autoSpaceDN/>
              <w:bidi w:val="0"/>
              <w:adjustRightInd/>
              <w:snapToGrid/>
              <w:spacing w:after="0" w:line="240" w:lineRule="auto"/>
              <w:ind w:left="425" w:leftChars="0" w:right="0" w:rightChars="0" w:hanging="425"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elementele de fixare (șuruburi, piulițe etc.) și produse de etanșare necesare realizării îmbinărilor flanșate (materiale gata de utilizare);</w:t>
            </w:r>
          </w:p>
          <w:p>
            <w:pPr>
              <w:keepNext w:val="0"/>
              <w:keepLines w:val="0"/>
              <w:pageBreakBefore w:val="0"/>
              <w:widowControl/>
              <w:numPr>
                <w:ilvl w:val="0"/>
                <w:numId w:val="13"/>
              </w:numPr>
              <w:suppressAutoHyphens w:val="0"/>
              <w:kinsoku/>
              <w:wordWrap/>
              <w:overflowPunct/>
              <w:topLinePunct w:val="0"/>
              <w:autoSpaceDE/>
              <w:autoSpaceDN/>
              <w:bidi w:val="0"/>
              <w:adjustRightInd/>
              <w:snapToGrid/>
              <w:spacing w:after="0" w:line="240" w:lineRule="auto"/>
              <w:ind w:left="425" w:leftChars="0" w:right="0" w:rightChars="0" w:hanging="425"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pachet de piese de schimb inițial, destinate primelor intervenții de întreținere curentă, stabilite în conformitate cu documentația tehnică și recomandările producătorului.</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La livrarea regulatoarelor de presiune, Furnizorul trebuie să prezinte un angajament scris, în original, emis de către producătorul echipamentului sau de către un reprezentant autorizat al acestuia, privind asigurarea disponibilității pe piață a pieselor de schimb pe întreaga durată de viață a echipamentului, dar nu mai mică de 20 (douăzeci) de ani.</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val="en-US" w:eastAsia="en-US"/>
                <w14:textFill>
                  <w14:solidFill>
                    <w14:schemeClr w14:val="tx1"/>
                  </w14:solidFill>
                </w14:textFill>
              </w:rPr>
            </w:pP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xml:space="preserve">Техническое наименование товара на русском и румынском языке </w:t>
            </w:r>
            <w:r>
              <w:rPr>
                <w:rFonts w:hint="default" w:ascii="Times New Roman" w:hAnsi="Times New Roman" w:eastAsia="Calibri"/>
                <w:b/>
                <w:bCs/>
                <w:i/>
                <w:iCs/>
                <w:color w:val="000000" w:themeColor="text1"/>
                <w:sz w:val="22"/>
                <w:szCs w:val="22"/>
                <w:highlight w:val="none"/>
                <w:lang w:eastAsia="en-US"/>
                <w14:textFill>
                  <w14:solidFill>
                    <w14:schemeClr w14:val="tx1"/>
                  </w14:solidFill>
                </w14:textFill>
              </w:rPr>
              <w:t>«регулятор давлегия мембранный»</w:t>
            </w: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xml:space="preserve">, respectiv </w:t>
            </w:r>
            <w:r>
              <w:rPr>
                <w:rFonts w:hint="default" w:ascii="Times New Roman" w:hAnsi="Times New Roman" w:eastAsia="Calibri"/>
                <w:b/>
                <w:bCs/>
                <w:i/>
                <w:iCs/>
                <w:color w:val="000000" w:themeColor="text1"/>
                <w:sz w:val="22"/>
                <w:szCs w:val="22"/>
                <w:highlight w:val="none"/>
                <w:lang w:eastAsia="en-US"/>
                <w14:textFill>
                  <w14:solidFill>
                    <w14:schemeClr w14:val="tx1"/>
                  </w14:solidFill>
                </w14:textFill>
              </w:rPr>
              <w:t>„regulator de presiune cu membrană”.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9"/>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Clapetă cu regulator presiune până la sine</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 xml:space="preserve"> </w:t>
            </w:r>
            <w:r>
              <w:rPr>
                <w:rFonts w:hint="default" w:ascii="Times New Roman" w:hAnsi="Times New Roman" w:eastAsia="Calibri"/>
                <w:color w:val="000000" w:themeColor="text1"/>
                <w:sz w:val="22"/>
                <w:szCs w:val="22"/>
                <w:highlight w:val="none"/>
                <w:lang w:eastAsia="en-US"/>
                <w14:textFill>
                  <w14:solidFill>
                    <w14:schemeClr w14:val="tx1"/>
                  </w14:solidFill>
                </w14:textFill>
              </w:rPr>
              <w:t>(</w:t>
            </w:r>
            <w:r>
              <w:rPr>
                <w:rFonts w:hint="default" w:ascii="Times New Roman" w:hAnsi="Times New Roman" w:eastAsia="Calibri"/>
                <w:color w:val="000000" w:themeColor="text1"/>
                <w:sz w:val="22"/>
                <w:szCs w:val="22"/>
                <w:highlight w:val="none"/>
                <w:lang w:val="en-US" w:eastAsia="en-US"/>
                <w14:textFill>
                  <w14:solidFill>
                    <w14:schemeClr w14:val="tx1"/>
                  </w14:solidFill>
                </w14:textFill>
              </w:rPr>
              <w:t>în amonte</w:t>
            </w:r>
            <w:r>
              <w:rPr>
                <w:rFonts w:hint="default" w:ascii="Times New Roman" w:hAnsi="Times New Roman" w:eastAsia="Calibri"/>
                <w:color w:val="000000" w:themeColor="text1"/>
                <w:sz w:val="22"/>
                <w:szCs w:val="22"/>
                <w:highlight w:val="none"/>
                <w:lang w:eastAsia="en-US"/>
                <w14:textFill>
                  <w14:solidFill>
                    <w14:schemeClr w14:val="tx1"/>
                  </w14:solidFill>
                </w14:textFill>
              </w:rPr>
              <w:t>), cu membrană Dn400 Pn16 Kvs=2000m3/h, cu contraflanșe și set piese de schimb</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1,0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Clapetă cu regulator de presiune integrat până la sine, cu diametrul nominal (Dn) de 400 mm și presiunea nominală (Pn) de 16 bari. Echipamentul va asigura o funcționare fiabilă la temperaturi ale agentului termic de până la 120℃. Regulatorul de presiune este produs din componente rezistente la depunerile de calcar și coroziune sau mai performante. Acesta funcționează independent, fără sursă de energie externă. Compensare prin membrană.</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Regulatorul va acționa automat pentru a menține presiunea agentului termic în conducta retur. Presiunea existentă în conducta retur: 1,7 bari; presiunea necesară pentru menținere în conductă: 3,0 bari. Diapazon de reglare: 2,0-4,4 bari. Fără drenarea agentului termic. Debitul min-max: 50-820 m3/h.</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Pe lângă regulatorul de presiune, operatorul economic va furniza următoarele componente și materiale:</w:t>
            </w:r>
          </w:p>
          <w:p>
            <w:pPr>
              <w:keepNext w:val="0"/>
              <w:keepLines w:val="0"/>
              <w:pageBreakBefore w:val="0"/>
              <w:widowControl/>
              <w:numPr>
                <w:ilvl w:val="0"/>
                <w:numId w:val="14"/>
              </w:numPr>
              <w:suppressAutoHyphens w:val="0"/>
              <w:kinsoku/>
              <w:wordWrap/>
              <w:overflowPunct/>
              <w:topLinePunct w:val="0"/>
              <w:autoSpaceDE/>
              <w:autoSpaceDN/>
              <w:bidi w:val="0"/>
              <w:adjustRightInd/>
              <w:snapToGrid/>
              <w:spacing w:after="0" w:line="240" w:lineRule="auto"/>
              <w:ind w:left="425" w:leftChars="0" w:right="0" w:rightChars="0" w:hanging="425"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contraflanșe corespunzătoare diametrului nominal DN 400 și tipului de conexiune;</w:t>
            </w:r>
          </w:p>
          <w:p>
            <w:pPr>
              <w:keepNext w:val="0"/>
              <w:keepLines w:val="0"/>
              <w:pageBreakBefore w:val="0"/>
              <w:widowControl/>
              <w:numPr>
                <w:ilvl w:val="0"/>
                <w:numId w:val="14"/>
              </w:numPr>
              <w:suppressAutoHyphens w:val="0"/>
              <w:kinsoku/>
              <w:wordWrap/>
              <w:overflowPunct/>
              <w:topLinePunct w:val="0"/>
              <w:autoSpaceDE/>
              <w:autoSpaceDN/>
              <w:bidi w:val="0"/>
              <w:adjustRightInd/>
              <w:snapToGrid/>
              <w:spacing w:after="0" w:line="240" w:lineRule="auto"/>
              <w:ind w:left="425" w:leftChars="0" w:right="0" w:rightChars="0" w:hanging="425"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elementele de fixare (șuruburi, piulițe etc.) și produse de etanșare necesare realizării îmbinărilor flanșate (materiale gata de utilizare);</w:t>
            </w:r>
          </w:p>
          <w:p>
            <w:pPr>
              <w:keepNext w:val="0"/>
              <w:keepLines w:val="0"/>
              <w:pageBreakBefore w:val="0"/>
              <w:widowControl/>
              <w:numPr>
                <w:ilvl w:val="0"/>
                <w:numId w:val="14"/>
              </w:numPr>
              <w:suppressAutoHyphens w:val="0"/>
              <w:kinsoku/>
              <w:wordWrap/>
              <w:overflowPunct/>
              <w:topLinePunct w:val="0"/>
              <w:autoSpaceDE/>
              <w:autoSpaceDN/>
              <w:bidi w:val="0"/>
              <w:adjustRightInd/>
              <w:snapToGrid/>
              <w:spacing w:after="0" w:line="240" w:lineRule="auto"/>
              <w:ind w:left="425" w:leftChars="0" w:right="0" w:rightChars="0" w:hanging="425"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pachet de piese de schimb inițial, destinate primelor intervenții de întreținere curentă, stabilite în conformitate cu documentația tehnică și recomandările producătorului.</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La livrarea regulatoarelor de presiune, Furnizorul trebuie să prezinte un angajament scris, în original, emis de către producătorul echipamentului sau de către un reprezentant autorizat al acestuia, privind asigurarea disponibilității pe piață a pieselor de schimb pe întreaga durată de viață a echipamentului, dar nu mai mică de 20 (douăzeci) de ani.</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val="en-US" w:eastAsia="en-US"/>
                <w14:textFill>
                  <w14:solidFill>
                    <w14:schemeClr w14:val="tx1"/>
                  </w14:solidFill>
                </w14:textFill>
              </w:rPr>
            </w:pP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xml:space="preserve">Техническое наименование товара на русском и румынском языке </w:t>
            </w:r>
            <w:r>
              <w:rPr>
                <w:rFonts w:hint="default" w:ascii="Times New Roman" w:hAnsi="Times New Roman" w:eastAsia="Calibri"/>
                <w:b/>
                <w:bCs/>
                <w:i/>
                <w:iCs/>
                <w:color w:val="000000" w:themeColor="text1"/>
                <w:sz w:val="22"/>
                <w:szCs w:val="22"/>
                <w:highlight w:val="none"/>
                <w:lang w:eastAsia="en-US"/>
                <w14:textFill>
                  <w14:solidFill>
                    <w14:schemeClr w14:val="tx1"/>
                  </w14:solidFill>
                </w14:textFill>
              </w:rPr>
              <w:t>«регулятор давлегия мембранный»</w:t>
            </w: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xml:space="preserve">, respectiv </w:t>
            </w:r>
            <w:r>
              <w:rPr>
                <w:rFonts w:hint="default" w:ascii="Times New Roman" w:hAnsi="Times New Roman" w:eastAsia="Calibri"/>
                <w:b/>
                <w:bCs/>
                <w:i/>
                <w:iCs/>
                <w:color w:val="000000" w:themeColor="text1"/>
                <w:sz w:val="22"/>
                <w:szCs w:val="22"/>
                <w:highlight w:val="none"/>
                <w:lang w:eastAsia="en-US"/>
                <w14:textFill>
                  <w14:solidFill>
                    <w14:schemeClr w14:val="tx1"/>
                  </w14:solidFill>
                </w14:textFill>
              </w:rPr>
              <w:t>„regulator de presiune cu membrană”.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3" w:type="dxa"/>
            <w:shd w:val="clear" w:color="auto" w:fill="auto"/>
            <w:vAlign w:val="center"/>
          </w:tcPr>
          <w:p>
            <w:pPr>
              <w:keepNext w:val="0"/>
              <w:keepLines w:val="0"/>
              <w:pageBreakBefore w:val="0"/>
              <w:widowControl/>
              <w:numPr>
                <w:ilvl w:val="0"/>
                <w:numId w:val="9"/>
              </w:numPr>
              <w:suppressAutoHyphens w:val="0"/>
              <w:kinsoku/>
              <w:wordWrap/>
              <w:overflowPunct/>
              <w:topLinePunct w:val="0"/>
              <w:autoSpaceDE/>
              <w:autoSpaceDN/>
              <w:bidi w:val="0"/>
              <w:adjustRightInd/>
              <w:snapToGrid/>
              <w:spacing w:after="0" w:line="240" w:lineRule="auto"/>
              <w:ind w:left="425" w:leftChars="0" w:right="-57" w:hanging="425" w:firstLineChars="0"/>
              <w:jc w:val="center"/>
              <w:textAlignment w:val="auto"/>
              <w:rPr>
                <w:rFonts w:ascii="Times New Roman" w:hAnsi="Times New Roman" w:eastAsia="Calibri" w:cs="Times New Roman"/>
                <w:color w:val="000000" w:themeColor="text1"/>
                <w:sz w:val="22"/>
                <w:szCs w:val="22"/>
                <w:highlight w:val="none"/>
                <w:lang w:eastAsia="en-US" w:bidi="ar-SA"/>
                <w14:textFill>
                  <w14:solidFill>
                    <w14:schemeClr w14:val="tx1"/>
                  </w14:solidFill>
                </w14:textFill>
              </w:rPr>
            </w:pPr>
          </w:p>
        </w:tc>
        <w:tc>
          <w:tcPr>
            <w:tcW w:w="252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left"/>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Clapetă cu regulator presiune după sine (în aval), cu membrană Dn400 Pn16 Kvs=2000m3/h, cu contraflanșe și piese de schimb</w:t>
            </w:r>
          </w:p>
        </w:tc>
        <w:tc>
          <w:tcPr>
            <w:tcW w:w="589"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buc.</w:t>
            </w:r>
          </w:p>
        </w:tc>
        <w:tc>
          <w:tcPr>
            <w:tcW w:w="761" w:type="dxa"/>
            <w:shd w:val="clear" w:color="auto" w:fill="auto"/>
            <w:vAlign w:val="center"/>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57" w:leftChars="0" w:right="-57" w:rightChars="0"/>
              <w:jc w:val="center"/>
              <w:textAlignment w:val="auto"/>
              <w:rPr>
                <w:rFonts w:hint="default" w:ascii="Times New Roman" w:hAnsi="Times New Roman" w:eastAsia="Calibri" w:cs="Times New Roman"/>
                <w:color w:val="000000" w:themeColor="text1"/>
                <w:sz w:val="22"/>
                <w:szCs w:val="22"/>
                <w:highlight w:val="none"/>
                <w:lang w:val="en-US" w:eastAsia="en-US" w:bidi="ar-SA"/>
                <w14:textFill>
                  <w14:solidFill>
                    <w14:schemeClr w14:val="tx1"/>
                  </w14:solidFill>
                </w14:textFill>
              </w:rPr>
            </w:pPr>
            <w:r>
              <w:rPr>
                <w:rFonts w:hint="default" w:ascii="Times New Roman" w:hAnsi="Times New Roman" w:eastAsia="Calibri" w:cs="Times New Roman"/>
                <w:color w:val="000000" w:themeColor="text1"/>
                <w:sz w:val="22"/>
                <w:szCs w:val="22"/>
                <w:highlight w:val="none"/>
                <w:lang w:eastAsia="en-US" w:bidi="ar-SA"/>
                <w14:textFill>
                  <w14:solidFill>
                    <w14:schemeClr w14:val="tx1"/>
                  </w14:solidFill>
                </w14:textFill>
              </w:rPr>
              <w:t>1,0</w:t>
            </w:r>
          </w:p>
        </w:tc>
        <w:tc>
          <w:tcPr>
            <w:tcW w:w="5233" w:type="dxa"/>
            <w:shd w:val="clear" w:color="auto" w:fill="auto"/>
            <w:vAlign w:val="top"/>
          </w:tcPr>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Clapetă cu regulator de presiune integrat până la sine, cu diametrul nominal (Dn) de 400 mm și presiunea nominală (Pn) de 16 bari. Echipamentul va asigura o funcționare fiabilă la temperaturi ale agentului termic de până la 120℃. Regulatorul de presiune este produs din componente rezistente la depunerile de calcar și coroziune sau mai performante. Acesta funcționează independent, fără sursă de energie externă. Compensare prin membrană.</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Regulatorul va acționa automat pentru a menține presiunea agentului termic în conducta retur. Presiunea existentă în conducta tur: 10,5 bari; presiunea necesară pentru menținere în conductă: 8,0 bari. Diapazon de reglare: 6,0-10,0 bari. Fără drenarea agentului termic. Debitul min-max: 80-1000 m3/h.</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Pe lângă regulatorul de presiune, operatorul economic va furniza următoarele componente și materiale:</w:t>
            </w:r>
          </w:p>
          <w:p>
            <w:pPr>
              <w:keepNext w:val="0"/>
              <w:keepLines w:val="0"/>
              <w:pageBreakBefore w:val="0"/>
              <w:widowControl/>
              <w:numPr>
                <w:ilvl w:val="0"/>
                <w:numId w:val="15"/>
              </w:numPr>
              <w:suppressAutoHyphens w:val="0"/>
              <w:kinsoku/>
              <w:wordWrap/>
              <w:overflowPunct/>
              <w:topLinePunct w:val="0"/>
              <w:autoSpaceDE/>
              <w:autoSpaceDN/>
              <w:bidi w:val="0"/>
              <w:adjustRightInd/>
              <w:snapToGrid/>
              <w:spacing w:after="0" w:line="240" w:lineRule="auto"/>
              <w:ind w:left="425" w:leftChars="0" w:right="0" w:rightChars="0" w:hanging="425"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contraflanșe corespunzătoare diametrului nominal DN 400 și tipului de conexiune;</w:t>
            </w:r>
          </w:p>
          <w:p>
            <w:pPr>
              <w:keepNext w:val="0"/>
              <w:keepLines w:val="0"/>
              <w:pageBreakBefore w:val="0"/>
              <w:widowControl/>
              <w:numPr>
                <w:ilvl w:val="0"/>
                <w:numId w:val="15"/>
              </w:numPr>
              <w:suppressAutoHyphens w:val="0"/>
              <w:kinsoku/>
              <w:wordWrap/>
              <w:overflowPunct/>
              <w:topLinePunct w:val="0"/>
              <w:autoSpaceDE/>
              <w:autoSpaceDN/>
              <w:bidi w:val="0"/>
              <w:adjustRightInd/>
              <w:snapToGrid/>
              <w:spacing w:after="0" w:line="240" w:lineRule="auto"/>
              <w:ind w:left="425" w:leftChars="0" w:right="0" w:rightChars="0" w:hanging="425"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elementele de fixare (șuruburi, piulițe etc.) și produse de etanșare necesare realizării îmbinărilor flanșate (materiale gata de utilizare);</w:t>
            </w:r>
          </w:p>
          <w:p>
            <w:pPr>
              <w:keepNext w:val="0"/>
              <w:keepLines w:val="0"/>
              <w:pageBreakBefore w:val="0"/>
              <w:widowControl/>
              <w:numPr>
                <w:ilvl w:val="0"/>
                <w:numId w:val="15"/>
              </w:numPr>
              <w:suppressAutoHyphens w:val="0"/>
              <w:kinsoku/>
              <w:wordWrap/>
              <w:overflowPunct/>
              <w:topLinePunct w:val="0"/>
              <w:autoSpaceDE/>
              <w:autoSpaceDN/>
              <w:bidi w:val="0"/>
              <w:adjustRightInd/>
              <w:snapToGrid/>
              <w:spacing w:after="0" w:line="240" w:lineRule="auto"/>
              <w:ind w:left="425" w:leftChars="0" w:right="0" w:rightChars="0" w:hanging="425"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pachet de piese de schimb inițial, destinate primelor intervenții de întreținere curentă, stabilite în conformitate cu documentația tehnică și recomandările producătorului.</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r>
              <w:rPr>
                <w:rFonts w:hint="default" w:ascii="Times New Roman" w:hAnsi="Times New Roman" w:eastAsia="Calibri"/>
                <w:color w:val="000000" w:themeColor="text1"/>
                <w:sz w:val="22"/>
                <w:szCs w:val="22"/>
                <w:highlight w:val="none"/>
                <w:lang w:eastAsia="en-US"/>
                <w14:textFill>
                  <w14:solidFill>
                    <w14:schemeClr w14:val="tx1"/>
                  </w14:solidFill>
                </w14:textFill>
              </w:rPr>
              <w:t>La livrarea regulatoarelor de presiune, Furnizorul trebuie să prezinte un angajament scris, în original, emis de către producătorul echipamentului sau de către un reprezentant autorizat al acestuia, privind asigurarea disponibilității pe piață a pieselor de schimb pe întreaga durată de viață a echipamentului, dar nu mai mică de 20 (douăzeci) de ani.</w:t>
            </w: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eastAsia="en-US"/>
                <w14:textFill>
                  <w14:solidFill>
                    <w14:schemeClr w14:val="tx1"/>
                  </w14:solidFill>
                </w14:textFill>
              </w:rPr>
            </w:pPr>
          </w:p>
          <w:p>
            <w:pPr>
              <w:keepNext w:val="0"/>
              <w:keepLines w:val="0"/>
              <w:pageBreakBefore w:val="0"/>
              <w:widowControl/>
              <w:suppressAutoHyphen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Calibri"/>
                <w:color w:val="000000" w:themeColor="text1"/>
                <w:sz w:val="22"/>
                <w:szCs w:val="22"/>
                <w:highlight w:val="none"/>
                <w:lang w:val="en-US" w:eastAsia="en-US"/>
                <w14:textFill>
                  <w14:solidFill>
                    <w14:schemeClr w14:val="tx1"/>
                  </w14:solidFill>
                </w14:textFill>
              </w:rPr>
            </w:pP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xml:space="preserve">Техническое наименование товара на русском и румынском языке </w:t>
            </w:r>
            <w:r>
              <w:rPr>
                <w:rFonts w:hint="default" w:ascii="Times New Roman" w:hAnsi="Times New Roman" w:eastAsia="Calibri"/>
                <w:b/>
                <w:bCs/>
                <w:i/>
                <w:iCs/>
                <w:color w:val="000000" w:themeColor="text1"/>
                <w:sz w:val="22"/>
                <w:szCs w:val="22"/>
                <w:highlight w:val="none"/>
                <w:lang w:eastAsia="en-US"/>
                <w14:textFill>
                  <w14:solidFill>
                    <w14:schemeClr w14:val="tx1"/>
                  </w14:solidFill>
                </w14:textFill>
              </w:rPr>
              <w:t>«регулятор давлегия мембранный»</w:t>
            </w:r>
            <w:r>
              <w:rPr>
                <w:rFonts w:hint="default" w:ascii="Times New Roman" w:hAnsi="Times New Roman" w:eastAsia="Calibri"/>
                <w:i/>
                <w:iCs/>
                <w:color w:val="000000" w:themeColor="text1"/>
                <w:sz w:val="22"/>
                <w:szCs w:val="22"/>
                <w:highlight w:val="none"/>
                <w:lang w:eastAsia="en-US"/>
                <w14:textFill>
                  <w14:solidFill>
                    <w14:schemeClr w14:val="tx1"/>
                  </w14:solidFill>
                </w14:textFill>
              </w:rPr>
              <w:t xml:space="preserve">, respectiv </w:t>
            </w:r>
            <w:r>
              <w:rPr>
                <w:rFonts w:hint="default" w:ascii="Times New Roman" w:hAnsi="Times New Roman" w:eastAsia="Calibri"/>
                <w:b/>
                <w:bCs/>
                <w:i/>
                <w:iCs/>
                <w:color w:val="000000" w:themeColor="text1"/>
                <w:sz w:val="22"/>
                <w:szCs w:val="22"/>
                <w:highlight w:val="none"/>
                <w:lang w:eastAsia="en-US"/>
                <w14:textFill>
                  <w14:solidFill>
                    <w14:schemeClr w14:val="tx1"/>
                  </w14:solidFill>
                </w14:textFill>
              </w:rPr>
              <w:t>„regulator de presiune cu membrană”.</w:t>
            </w:r>
          </w:p>
        </w:tc>
      </w:tr>
      <w:bookmarkEnd w:id="0"/>
    </w:tbl>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120" w:lineRule="auto"/>
        <w:textAlignment w:val="auto"/>
        <w:rPr>
          <w:rFonts w:hint="default" w:ascii="Times New Roman" w:hAnsi="Times New Roman"/>
          <w:b w:val="0"/>
          <w:bCs w:val="0"/>
          <w:color w:val="000000" w:themeColor="text1"/>
          <w:sz w:val="24"/>
          <w:szCs w:val="24"/>
          <w14:textFill>
            <w14:solidFill>
              <w14:schemeClr w14:val="tx1"/>
            </w14:solidFill>
          </w14:textFill>
        </w:rPr>
      </w:pPr>
    </w:p>
    <w:p>
      <w:pPr>
        <w:keepNext w:val="0"/>
        <w:keepLines w:val="0"/>
        <w:pageBreakBefore w:val="0"/>
        <w:widowControl/>
        <w:numPr>
          <w:ilvl w:val="0"/>
          <w:numId w:val="0"/>
        </w:numPr>
        <w:tabs>
          <w:tab w:val="left" w:pos="425"/>
        </w:tabs>
        <w:kinsoku/>
        <w:wordWrap/>
        <w:overflowPunct/>
        <w:topLinePunct w:val="0"/>
        <w:autoSpaceDE/>
        <w:autoSpaceDN/>
        <w:bidi w:val="0"/>
        <w:adjustRightInd/>
        <w:snapToGrid/>
        <w:ind w:firstLine="422" w:firstLineChars="200"/>
        <w:jc w:val="both"/>
        <w:textAlignment w:val="auto"/>
        <w:rPr>
          <w:rFonts w:hint="default" w:ascii="Times New Roman" w:hAnsi="Times New Roman"/>
          <w:b w:val="0"/>
          <w:bCs w:val="0"/>
          <w:color w:val="000000" w:themeColor="text1"/>
          <w:sz w:val="21"/>
          <w:szCs w:val="21"/>
          <w14:textFill>
            <w14:solidFill>
              <w14:schemeClr w14:val="tx1"/>
            </w14:solidFill>
          </w14:textFill>
        </w:rPr>
      </w:pPr>
      <w:r>
        <w:rPr>
          <w:rFonts w:hint="default" w:ascii="Times New Roman" w:hAnsi="Times New Roman"/>
          <w:b/>
          <w:bCs/>
          <w:color w:val="000000" w:themeColor="text1"/>
          <w:sz w:val="21"/>
          <w:szCs w:val="21"/>
          <w14:textFill>
            <w14:solidFill>
              <w14:schemeClr w14:val="tx1"/>
            </w14:solidFill>
          </w14:textFill>
        </w:rPr>
        <w:t>Note:</w:t>
      </w:r>
    </w:p>
    <w:p>
      <w:pPr>
        <w:keepNext w:val="0"/>
        <w:keepLines w:val="0"/>
        <w:pageBreakBefore w:val="0"/>
        <w:widowControl/>
        <w:numPr>
          <w:ilvl w:val="0"/>
          <w:numId w:val="16"/>
        </w:numPr>
        <w:kinsoku/>
        <w:wordWrap/>
        <w:overflowPunct/>
        <w:topLinePunct w:val="0"/>
        <w:autoSpaceDE/>
        <w:autoSpaceDN/>
        <w:bidi w:val="0"/>
        <w:adjustRightInd/>
        <w:snapToGrid/>
        <w:ind w:left="0" w:leftChars="0" w:firstLine="420" w:firstLineChars="200"/>
        <w:jc w:val="both"/>
        <w:textAlignment w:val="auto"/>
        <w:rPr>
          <w:rFonts w:hint="default" w:ascii="Times New Roman" w:hAnsi="Times New Roman"/>
          <w:b w:val="0"/>
          <w:bCs w:val="0"/>
          <w:color w:val="000000" w:themeColor="text1"/>
          <w:sz w:val="21"/>
          <w:szCs w:val="21"/>
          <w14:textFill>
            <w14:solidFill>
              <w14:schemeClr w14:val="tx1"/>
            </w14:solidFill>
          </w14:textFill>
        </w:rPr>
      </w:pPr>
      <w:r>
        <w:rPr>
          <w:rFonts w:hint="default" w:ascii="Times New Roman" w:hAnsi="Times New Roman"/>
          <w:b w:val="0"/>
          <w:bCs w:val="0"/>
          <w:color w:val="000000" w:themeColor="text1"/>
          <w:sz w:val="21"/>
          <w:szCs w:val="21"/>
          <w14:textFill>
            <w14:solidFill>
              <w14:schemeClr w14:val="tx1"/>
            </w14:solidFill>
          </w14:textFill>
        </w:rPr>
        <w:t>Toate materialele și piesele de schimb a</w:t>
      </w:r>
      <w:r>
        <w:rPr>
          <w:rFonts w:hint="default" w:ascii="Times New Roman" w:hAnsi="Times New Roman"/>
          <w:b w:val="0"/>
          <w:bCs w:val="0"/>
          <w:i w:val="0"/>
          <w:iCs w:val="0"/>
          <w:color w:val="000000" w:themeColor="text1"/>
          <w:sz w:val="21"/>
          <w:szCs w:val="21"/>
          <w14:textFill>
            <w14:solidFill>
              <w14:schemeClr w14:val="tx1"/>
            </w14:solidFill>
          </w14:textFill>
        </w:rPr>
        <w:t>ferente</w:t>
      </w:r>
      <w:r>
        <w:rPr>
          <w:rFonts w:hint="default" w:ascii="Times New Roman" w:hAnsi="Times New Roman"/>
          <w:b w:val="0"/>
          <w:bCs w:val="0"/>
          <w:i w:val="0"/>
          <w:iCs w:val="0"/>
          <w:color w:val="000000" w:themeColor="text1"/>
          <w:sz w:val="21"/>
          <w:szCs w:val="21"/>
          <w:lang/>
          <w14:textFill>
            <w14:solidFill>
              <w14:schemeClr w14:val="tx1"/>
            </w14:solidFill>
          </w14:textFill>
        </w:rPr>
        <w:t xml:space="preserve"> bunurilor din cadrul</w:t>
      </w:r>
      <w:r>
        <w:rPr>
          <w:rFonts w:hint="default" w:ascii="Times New Roman" w:hAnsi="Times New Roman"/>
          <w:b w:val="0"/>
          <w:bCs w:val="0"/>
          <w:i w:val="0"/>
          <w:iCs w:val="0"/>
          <w:color w:val="000000" w:themeColor="text1"/>
          <w:sz w:val="21"/>
          <w:szCs w:val="21"/>
          <w14:textFill>
            <w14:solidFill>
              <w14:schemeClr w14:val="tx1"/>
            </w14:solidFill>
          </w14:textFill>
        </w:rPr>
        <w:t xml:space="preserve"> lotul</w:t>
      </w:r>
      <w:r>
        <w:rPr>
          <w:rFonts w:hint="default" w:ascii="Times New Roman" w:hAnsi="Times New Roman"/>
          <w:b w:val="0"/>
          <w:bCs w:val="0"/>
          <w:i w:val="0"/>
          <w:iCs w:val="0"/>
          <w:color w:val="000000" w:themeColor="text1"/>
          <w:sz w:val="21"/>
          <w:szCs w:val="21"/>
          <w:lang/>
          <w14:textFill>
            <w14:solidFill>
              <w14:schemeClr w14:val="tx1"/>
            </w14:solidFill>
          </w14:textFill>
        </w:rPr>
        <w:t>ui</w:t>
      </w:r>
      <w:r>
        <w:rPr>
          <w:rFonts w:hint="default" w:ascii="Times New Roman" w:hAnsi="Times New Roman"/>
          <w:b w:val="0"/>
          <w:bCs w:val="0"/>
          <w:i w:val="0"/>
          <w:iCs w:val="0"/>
          <w:color w:val="000000" w:themeColor="text1"/>
          <w:sz w:val="21"/>
          <w:szCs w:val="21"/>
          <w14:textFill>
            <w14:solidFill>
              <w14:schemeClr w14:val="tx1"/>
            </w14:solidFill>
          </w14:textFill>
        </w:rPr>
        <w:t xml:space="preserve"> nr. 4 și nr. 5 vor fi </w:t>
      </w:r>
      <w:r>
        <w:rPr>
          <w:rFonts w:hint="default" w:ascii="Times New Roman" w:hAnsi="Times New Roman"/>
          <w:b w:val="0"/>
          <w:bCs w:val="0"/>
          <w:color w:val="000000" w:themeColor="text1"/>
          <w:sz w:val="21"/>
          <w:szCs w:val="21"/>
          <w14:textFill>
            <w14:solidFill>
              <w14:schemeClr w14:val="tx1"/>
            </w14:solidFill>
          </w14:textFill>
        </w:rPr>
        <w:t xml:space="preserve">noi, originale și vor fi livrate odată </w:t>
      </w:r>
      <w:bookmarkStart w:id="1" w:name="_GoBack"/>
      <w:bookmarkEnd w:id="1"/>
      <w:r>
        <w:rPr>
          <w:rFonts w:hint="default" w:ascii="Times New Roman" w:hAnsi="Times New Roman"/>
          <w:b w:val="0"/>
          <w:bCs w:val="0"/>
          <w:color w:val="000000" w:themeColor="text1"/>
          <w:sz w:val="21"/>
          <w:szCs w:val="21"/>
          <w14:textFill>
            <w14:solidFill>
              <w14:schemeClr w14:val="tx1"/>
            </w14:solidFill>
          </w14:textFill>
        </w:rPr>
        <w:t>cu acestea.</w:t>
      </w:r>
    </w:p>
    <w:p>
      <w:pPr>
        <w:keepNext w:val="0"/>
        <w:keepLines w:val="0"/>
        <w:pageBreakBefore w:val="0"/>
        <w:widowControl/>
        <w:numPr>
          <w:ilvl w:val="0"/>
          <w:numId w:val="16"/>
        </w:numPr>
        <w:kinsoku/>
        <w:wordWrap/>
        <w:overflowPunct/>
        <w:topLinePunct w:val="0"/>
        <w:autoSpaceDE/>
        <w:autoSpaceDN/>
        <w:bidi w:val="0"/>
        <w:adjustRightInd/>
        <w:snapToGrid/>
        <w:ind w:left="0" w:leftChars="0" w:firstLine="420" w:firstLineChars="200"/>
        <w:jc w:val="both"/>
        <w:textAlignment w:val="auto"/>
        <w:rPr>
          <w:rFonts w:hint="default" w:ascii="Times New Roman" w:hAnsi="Times New Roman"/>
          <w:b w:val="0"/>
          <w:bCs w:val="0"/>
          <w:color w:val="000000" w:themeColor="text1"/>
          <w:sz w:val="21"/>
          <w:szCs w:val="21"/>
          <w14:textFill>
            <w14:solidFill>
              <w14:schemeClr w14:val="tx1"/>
            </w14:solidFill>
          </w14:textFill>
        </w:rPr>
      </w:pPr>
      <w:r>
        <w:rPr>
          <w:rFonts w:hint="default" w:ascii="Times New Roman" w:hAnsi="Times New Roman"/>
          <w:b w:val="0"/>
          <w:bCs w:val="0"/>
          <w:color w:val="000000" w:themeColor="text1"/>
          <w:sz w:val="21"/>
          <w:szCs w:val="21"/>
          <w14:textFill>
            <w14:solidFill>
              <w14:schemeClr w14:val="tx1"/>
            </w14:solidFill>
          </w14:textFill>
        </w:rPr>
        <w:t xml:space="preserve">În propunerea tehnică și financiară, toate componentele și materialele </w:t>
      </w:r>
      <w:r>
        <w:rPr>
          <w:rFonts w:hint="default" w:ascii="Times New Roman" w:hAnsi="Times New Roman"/>
          <w:b w:val="0"/>
          <w:bCs w:val="0"/>
          <w:i/>
          <w:iCs/>
          <w:color w:val="000000" w:themeColor="text1"/>
          <w:sz w:val="21"/>
          <w:szCs w:val="21"/>
          <w14:textFill>
            <w14:solidFill>
              <w14:schemeClr w14:val="tx1"/>
            </w14:solidFill>
          </w14:textFill>
        </w:rPr>
        <w:t>(a se vedea lotul nr. 4 și nr. 5)</w:t>
      </w:r>
      <w:r>
        <w:rPr>
          <w:rFonts w:hint="default" w:ascii="Times New Roman" w:hAnsi="Times New Roman"/>
          <w:b w:val="0"/>
          <w:bCs w:val="0"/>
          <w:color w:val="000000" w:themeColor="text1"/>
          <w:sz w:val="21"/>
          <w:szCs w:val="21"/>
          <w14:textFill>
            <w14:solidFill>
              <w14:schemeClr w14:val="tx1"/>
            </w14:solidFill>
          </w14:textFill>
        </w:rPr>
        <w:t xml:space="preserve"> vor fi ofertate sub aceeași poziție cu supapa de siguranță/ regulatorul de presiune. În factura fiscală aceleași componente și materiale vor fi evidențiate distinct, ca poziții separate, în cadrul aceleiași facturi fiscale cu echipamentul de bază (supapa de siguranță/ regulatorul de presiune).</w:t>
      </w:r>
    </w:p>
    <w:p>
      <w:pPr>
        <w:keepNext w:val="0"/>
        <w:keepLines w:val="0"/>
        <w:pageBreakBefore w:val="0"/>
        <w:widowControl/>
        <w:numPr>
          <w:ilvl w:val="0"/>
          <w:numId w:val="16"/>
        </w:numPr>
        <w:kinsoku/>
        <w:wordWrap/>
        <w:overflowPunct/>
        <w:topLinePunct w:val="0"/>
        <w:autoSpaceDE/>
        <w:autoSpaceDN/>
        <w:bidi w:val="0"/>
        <w:adjustRightInd/>
        <w:snapToGrid/>
        <w:ind w:left="0" w:leftChars="0" w:firstLine="420" w:firstLineChars="200"/>
        <w:jc w:val="both"/>
        <w:textAlignment w:val="auto"/>
        <w:rPr>
          <w:rFonts w:hint="default" w:ascii="Times New Roman" w:hAnsi="Times New Roman"/>
          <w:b w:val="0"/>
          <w:bCs w:val="0"/>
          <w:color w:val="000000" w:themeColor="text1"/>
          <w:sz w:val="21"/>
          <w:szCs w:val="21"/>
          <w14:textFill>
            <w14:solidFill>
              <w14:schemeClr w14:val="tx1"/>
            </w14:solidFill>
          </w14:textFill>
        </w:rPr>
      </w:pPr>
      <w:r>
        <w:rPr>
          <w:rFonts w:hint="default" w:ascii="Times New Roman" w:hAnsi="Times New Roman"/>
          <w:b w:val="0"/>
          <w:bCs w:val="0"/>
          <w:color w:val="000000" w:themeColor="text1"/>
          <w:sz w:val="21"/>
          <w:szCs w:val="21"/>
          <w14:textFill>
            <w14:solidFill>
              <w14:schemeClr w14:val="tx1"/>
            </w14:solidFill>
          </w14:textFill>
        </w:rPr>
        <w:t>Specificațiile tehnice care indică o anumită origine, sursă, producție, tip, un procedeu special, o marcă de fabrică sau de comerț, un brevet de invenție, o licență de fabricație, un standard sunt menționate doar cu scopul de a identifica cu ușurința tipurile de produse ca concept (formă, dimensiuni, compoziție), şi nu au ca efect favorizarea sau eliminarea anumitor operatori economici.</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textAlignment w:val="auto"/>
        <w:rPr>
          <w:rFonts w:hint="default" w:ascii="Times New Roman" w:hAnsi="Times New Roman"/>
          <w:b w:val="0"/>
          <w:bCs w:val="0"/>
          <w:color w:val="000000" w:themeColor="text1"/>
          <w:sz w:val="24"/>
          <w:szCs w:val="24"/>
          <w14:textFill>
            <w14:solidFill>
              <w14:schemeClr w14:val="tx1"/>
            </w14:solidFill>
          </w14:textFill>
        </w:rPr>
      </w:pPr>
    </w:p>
    <w:p>
      <w:pPr>
        <w:keepNext w:val="0"/>
        <w:keepLines w:val="0"/>
        <w:pageBreakBefore w:val="0"/>
        <w:widowControl/>
        <w:numPr>
          <w:ilvl w:val="0"/>
          <w:numId w:val="1"/>
        </w:numPr>
        <w:kinsoku/>
        <w:wordWrap/>
        <w:overflowPunct/>
        <w:topLinePunct w:val="0"/>
        <w:autoSpaceDE/>
        <w:autoSpaceDN/>
        <w:bidi w:val="0"/>
        <w:adjustRightInd/>
        <w:snapToGrid/>
        <w:spacing w:line="252" w:lineRule="auto"/>
        <w:ind w:left="0" w:leftChars="0" w:firstLine="482" w:firstLineChars="200"/>
        <w:textAlignment w:val="auto"/>
        <w:rPr>
          <w:rFonts w:hint="default" w:ascii="Times New Roman" w:hAnsi="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Admiterea sau interzicerea ofertelor alternative</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Nu se acceptă depunerea de oferte alternative.</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p>
    <w:p>
      <w:pPr>
        <w:keepNext w:val="0"/>
        <w:keepLines w:val="0"/>
        <w:pageBreakBefore w:val="0"/>
        <w:widowControl/>
        <w:numPr>
          <w:ilvl w:val="0"/>
          <w:numId w:val="1"/>
        </w:numPr>
        <w:kinsoku/>
        <w:wordWrap/>
        <w:overflowPunct/>
        <w:topLinePunct w:val="0"/>
        <w:autoSpaceDE/>
        <w:autoSpaceDN/>
        <w:bidi w:val="0"/>
        <w:adjustRightInd/>
        <w:snapToGrid/>
        <w:spacing w:line="252" w:lineRule="auto"/>
        <w:ind w:left="0" w:leftChars="0" w:firstLine="482" w:firstLineChars="200"/>
        <w:textAlignment w:val="auto"/>
        <w:rPr>
          <w:rFonts w:hint="default" w:ascii="Times New Roman" w:hAnsi="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Mostre.</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Prezentarea mostrelor nu constituie o cerință obligatorie.</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p>
    <w:p>
      <w:pPr>
        <w:keepNext w:val="0"/>
        <w:keepLines w:val="0"/>
        <w:pageBreakBefore w:val="0"/>
        <w:widowControl/>
        <w:numPr>
          <w:ilvl w:val="0"/>
          <w:numId w:val="1"/>
        </w:numPr>
        <w:kinsoku/>
        <w:wordWrap/>
        <w:overflowPunct/>
        <w:topLinePunct w:val="0"/>
        <w:autoSpaceDE/>
        <w:autoSpaceDN/>
        <w:bidi w:val="0"/>
        <w:adjustRightInd/>
        <w:snapToGrid/>
        <w:spacing w:line="252" w:lineRule="auto"/>
        <w:ind w:left="0" w:leftChars="0" w:firstLine="482" w:firstLineChars="200"/>
        <w:textAlignment w:val="auto"/>
        <w:rPr>
          <w:rFonts w:hint="default" w:ascii="Times New Roman" w:hAnsi="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Condiții de ambalare, marcare și transport</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Bunurile vor fi ambalate sau împachetate în modul obișnuit, pentru bunurile de acest tip, astfel încât să li se asigure o protecție adecvată și sigură în timpul manipulării, transportării și depozitării, prevenind deteriorările mecanice și contribuind la menținerea parametrilor de calitate. Totodată, ambalajul va fi conform prevederilor legale referitoare la protecţia muncii, mediului şi securitatea consumatorilor.</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Stratul de protecție anticorozivă trebuie să fie aplicat uniform pe întreaga suprafață protejată, să fie lipsit de discontinuități și fără exfolieri, fisuri, porozități sau alte imperfecțiuni. Prin urmare, nu se admit la recepție bunuri care prezintă zgârieturi vizibile până la stratul de bază sau de metal, bunuri cu strat de protecție exfoliat sau desprins, bunuri cu decolorări uniforme.</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Remedierile locale ale stratului de protecție anticorozivă efectuate de Furnizor, anterior sau ulterior livrării (retușuri, revopsiri parțiale), nu sunt acceptate, cu excepția cazului în care sunt prevăzute expres în documentația producătorului și aprobate în prealabil, în scris, de către Cumpărător (Beneficiar).</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Entitatea contractantă (Cumpărătorul) își rezervă dreptul de a respinge bunurile care prezintă, inclusiv dar fără a se limita la, următoarele neconformități:</w:t>
      </w:r>
    </w:p>
    <w:p>
      <w:pPr>
        <w:keepNext w:val="0"/>
        <w:keepLines w:val="0"/>
        <w:pageBreakBefore w:val="0"/>
        <w:widowControl/>
        <w:numPr>
          <w:ilvl w:val="0"/>
          <w:numId w:val="17"/>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fisuri sau crăpături în corpul armăturii;</w:t>
      </w:r>
    </w:p>
    <w:p>
      <w:pPr>
        <w:keepNext w:val="0"/>
        <w:keepLines w:val="0"/>
        <w:pageBreakBefore w:val="0"/>
        <w:widowControl/>
        <w:numPr>
          <w:ilvl w:val="0"/>
          <w:numId w:val="17"/>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deformări, ovalizări sau abateri geometrice ale flanșelor (punctelor de racordare);</w:t>
      </w:r>
    </w:p>
    <w:p>
      <w:pPr>
        <w:keepNext w:val="0"/>
        <w:keepLines w:val="0"/>
        <w:pageBreakBefore w:val="0"/>
        <w:widowControl/>
        <w:numPr>
          <w:ilvl w:val="0"/>
          <w:numId w:val="17"/>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defecte ale suprafețelor de etanșare (zgârieturi, lovituri, uzuri);</w:t>
      </w:r>
    </w:p>
    <w:p>
      <w:pPr>
        <w:keepNext w:val="0"/>
        <w:keepLines w:val="0"/>
        <w:pageBreakBefore w:val="0"/>
        <w:widowControl/>
        <w:numPr>
          <w:ilvl w:val="0"/>
          <w:numId w:val="17"/>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filet deteriorat, incomplet sau neconform;</w:t>
      </w:r>
    </w:p>
    <w:p>
      <w:pPr>
        <w:keepNext w:val="0"/>
        <w:keepLines w:val="0"/>
        <w:pageBreakBefore w:val="0"/>
        <w:widowControl/>
        <w:numPr>
          <w:ilvl w:val="0"/>
          <w:numId w:val="17"/>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nealinierea componentelor mobile (obturator, disc, clapetă etc.);</w:t>
      </w:r>
    </w:p>
    <w:p>
      <w:pPr>
        <w:keepNext w:val="0"/>
        <w:keepLines w:val="0"/>
        <w:pageBreakBefore w:val="0"/>
        <w:widowControl/>
        <w:numPr>
          <w:ilvl w:val="0"/>
          <w:numId w:val="17"/>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funcționare necorespunzătoare la manevrare (blocaje, curse incomplete, rezistență excesivă);</w:t>
      </w:r>
    </w:p>
    <w:p>
      <w:pPr>
        <w:keepNext w:val="0"/>
        <w:keepLines w:val="0"/>
        <w:pageBreakBefore w:val="0"/>
        <w:widowControl/>
        <w:numPr>
          <w:ilvl w:val="0"/>
          <w:numId w:val="17"/>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lipsa sau deteriorarea elementelor constructive (șuruburi, bolturi, garnituri, axe, capace etc.);</w:t>
      </w:r>
    </w:p>
    <w:p>
      <w:pPr>
        <w:keepNext w:val="0"/>
        <w:keepLines w:val="0"/>
        <w:pageBreakBefore w:val="0"/>
        <w:widowControl/>
        <w:numPr>
          <w:ilvl w:val="0"/>
          <w:numId w:val="17"/>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marcaje incomplete, ilizibile sau neconforme cu cerințele standardelor aplicabile;</w:t>
      </w:r>
    </w:p>
    <w:p>
      <w:pPr>
        <w:keepNext w:val="0"/>
        <w:keepLines w:val="0"/>
        <w:pageBreakBefore w:val="0"/>
        <w:widowControl/>
        <w:numPr>
          <w:ilvl w:val="0"/>
          <w:numId w:val="17"/>
        </w:numPr>
        <w:tabs>
          <w:tab w:val="left" w:pos="425"/>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highlight w:val="none"/>
          <w14:textFill>
            <w14:solidFill>
              <w14:schemeClr w14:val="tx1"/>
            </w14:solidFill>
          </w14:textFill>
        </w:rPr>
      </w:pPr>
      <w:r>
        <w:rPr>
          <w:rFonts w:hint="default" w:ascii="Times New Roman" w:hAnsi="Times New Roman"/>
          <w:b w:val="0"/>
          <w:bCs w:val="0"/>
          <w:color w:val="000000" w:themeColor="text1"/>
          <w:sz w:val="24"/>
          <w:szCs w:val="24"/>
          <w:highlight w:val="none"/>
          <w14:textFill>
            <w14:solidFill>
              <w14:schemeClr w14:val="tx1"/>
            </w14:solidFill>
          </w14:textFill>
        </w:rPr>
        <w:t>neconcordanțe între bunurile livrate și documentația tehnică sau certificările prezentate.</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highlight w:val="none"/>
          <w14:textFill>
            <w14:solidFill>
              <w14:schemeClr w14:val="tx1"/>
            </w14:solidFill>
          </w14:textFill>
        </w:rPr>
      </w:pPr>
      <w:r>
        <w:rPr>
          <w:rFonts w:hint="default" w:ascii="Times New Roman" w:hAnsi="Times New Roman"/>
          <w:b w:val="0"/>
          <w:bCs w:val="0"/>
          <w:color w:val="000000" w:themeColor="text1"/>
          <w:sz w:val="24"/>
          <w:szCs w:val="24"/>
          <w:highlight w:val="none"/>
          <w14:textFill>
            <w14:solidFill>
              <w14:schemeClr w14:val="tx1"/>
            </w14:solidFill>
          </w14:textFill>
        </w:rPr>
        <w:t>Marcarea și etichetarea bunurilor va fi realizată în conformitate cu standardele tehnice și reglementările aplicabile fiecărui tip armătură, în funcție de bunurile efectiv ofertate. Indiferent de standardul aplicat, producătorul se va asigura că marcajul și etichetele trebuie să fie permanente, lizibile și să permită identificarea fără echivoc a produsului, a producătorului, a principalilor parametri tehnici și a lotului sau numărului de serie.</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before="181" w:beforeLines="50" w:after="181" w:afterLines="50"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highlight w:val="none"/>
          <w14:textFill>
            <w14:solidFill>
              <w14:schemeClr w14:val="tx1"/>
            </w14:solidFill>
          </w14:textFill>
        </w:rPr>
        <w:t xml:space="preserve">Livrarea bunurilor se va efectua din contul și cu transportul operatorului economic (Furnizorului/Vânzătorului), la depozitul entității contractante (Cumpărătorului) - or. Bălți, str. </w:t>
      </w:r>
      <w:r>
        <w:rPr>
          <w:rFonts w:hint="default" w:ascii="Times New Roman" w:hAnsi="Times New Roman"/>
          <w:b w:val="0"/>
          <w:bCs w:val="0"/>
          <w:color w:val="000000" w:themeColor="text1"/>
          <w:sz w:val="24"/>
          <w:szCs w:val="24"/>
          <w14:textFill>
            <w14:solidFill>
              <w14:schemeClr w14:val="tx1"/>
            </w14:solidFill>
          </w14:textFill>
        </w:rPr>
        <w:t xml:space="preserve">Ștefan cel Mare, 168, Republica Moldova, </w:t>
      </w:r>
      <w:r>
        <w:rPr>
          <w:rFonts w:hint="default" w:ascii="Times New Roman" w:hAnsi="Times New Roman"/>
          <w:b/>
          <w:bCs/>
          <w:i/>
          <w:iCs/>
          <w:color w:val="000000" w:themeColor="text1"/>
          <w:sz w:val="24"/>
          <w:szCs w:val="24"/>
          <w14:textFill>
            <w14:solidFill>
              <w14:schemeClr w14:val="tx1"/>
            </w14:solidFill>
          </w14:textFill>
        </w:rPr>
        <w:t>în termen de 90 (nouăzeci) de zile calendaristice din momentul semnării contractului.</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Documentația de însoțire a bunurilor va include:</w:t>
      </w:r>
    </w:p>
    <w:p>
      <w:pPr>
        <w:keepNext w:val="0"/>
        <w:keepLines w:val="0"/>
        <w:pageBreakBefore w:val="0"/>
        <w:widowControl/>
        <w:numPr>
          <w:ilvl w:val="0"/>
          <w:numId w:val="18"/>
        </w:numPr>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 xml:space="preserve">factura fiscală electronică - </w:t>
      </w:r>
      <w:r>
        <w:rPr>
          <w:rFonts w:hint="default" w:ascii="Times New Roman" w:hAnsi="Times New Roman"/>
          <w:b w:val="0"/>
          <w:bCs w:val="0"/>
          <w:i/>
          <w:iCs/>
          <w:color w:val="000000" w:themeColor="text1"/>
          <w:sz w:val="24"/>
          <w:szCs w:val="24"/>
          <w14:textFill>
            <w14:solidFill>
              <w14:schemeClr w14:val="tx1"/>
            </w14:solidFill>
          </w14:textFill>
        </w:rPr>
        <w:t>în conformitate cu art. II, pct. 14 din Legea nr. 187/2025 pentru modificarea unor acte normative (art. 117, alineat (12) din Codul fiscal al RM);</w:t>
      </w:r>
    </w:p>
    <w:p>
      <w:pPr>
        <w:keepNext w:val="0"/>
        <w:keepLines w:val="0"/>
        <w:pageBreakBefore w:val="0"/>
        <w:widowControl/>
        <w:numPr>
          <w:ilvl w:val="0"/>
          <w:numId w:val="18"/>
        </w:numPr>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 xml:space="preserve">documente justificative privind calitatea și conformitatea bunurilor, </w:t>
      </w:r>
      <w:r>
        <w:rPr>
          <w:rFonts w:hint="default" w:ascii="Times New Roman" w:hAnsi="Times New Roman"/>
          <w:b w:val="0"/>
          <w:bCs w:val="0"/>
          <w:i/>
          <w:iCs/>
          <w:color w:val="000000" w:themeColor="text1"/>
          <w:sz w:val="24"/>
          <w:szCs w:val="24"/>
          <w14:textFill>
            <w14:solidFill>
              <w14:schemeClr w14:val="tx1"/>
            </w14:solidFill>
          </w14:textFill>
        </w:rPr>
        <w:t>valabile la data livrării</w:t>
      </w:r>
      <w:r>
        <w:rPr>
          <w:rFonts w:hint="default" w:ascii="Times New Roman" w:hAnsi="Times New Roman"/>
          <w:b w:val="0"/>
          <w:bCs w:val="0"/>
          <w:color w:val="000000" w:themeColor="text1"/>
          <w:sz w:val="24"/>
          <w:szCs w:val="24"/>
          <w14:textFill>
            <w14:solidFill>
              <w14:schemeClr w14:val="tx1"/>
            </w14:solidFill>
          </w14:textFill>
        </w:rPr>
        <w:t xml:space="preserve"> - în mod obligatoriu se vor prezenta originalele certificatelor de calitate și copia de pe original a certificatelor de conformitate (copia actului va fi certificată prin aplicarea mențiunii </w:t>
      </w:r>
      <w:r>
        <w:rPr>
          <w:rFonts w:hint="default" w:ascii="Times New Roman" w:hAnsi="Times New Roman"/>
          <w:b w:val="0"/>
          <w:bCs w:val="0"/>
          <w:i/>
          <w:iCs/>
          <w:color w:val="000000" w:themeColor="text1"/>
          <w:sz w:val="24"/>
          <w:szCs w:val="24"/>
          <w14:textFill>
            <w14:solidFill>
              <w14:schemeClr w14:val="tx1"/>
            </w14:solidFill>
          </w14:textFill>
        </w:rPr>
        <w:t>„Corespunde originalului”,</w:t>
      </w:r>
      <w:r>
        <w:rPr>
          <w:rFonts w:hint="default" w:ascii="Times New Roman" w:hAnsi="Times New Roman"/>
          <w:b w:val="0"/>
          <w:bCs w:val="0"/>
          <w:color w:val="000000" w:themeColor="text1"/>
          <w:sz w:val="24"/>
          <w:szCs w:val="24"/>
          <w14:textFill>
            <w14:solidFill>
              <w14:schemeClr w14:val="tx1"/>
            </w14:solidFill>
          </w14:textFill>
        </w:rPr>
        <w:t xml:space="preserve"> însoțită de semnătura persoanei responsabile din cadrul producătorului, precum și ștampila acestuia, astfel încât să fie asigurată autenticitatea documentului);</w:t>
      </w:r>
    </w:p>
    <w:p>
      <w:pPr>
        <w:keepNext w:val="0"/>
        <w:keepLines w:val="0"/>
        <w:pageBreakBefore w:val="0"/>
        <w:widowControl/>
        <w:numPr>
          <w:ilvl w:val="0"/>
          <w:numId w:val="18"/>
        </w:numPr>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 xml:space="preserve">pașaportul tehnic, în original - cuprinde/conține cel puțin: </w:t>
      </w:r>
      <w:r>
        <w:rPr>
          <w:rFonts w:hint="default" w:ascii="Times New Roman" w:hAnsi="Times New Roman"/>
          <w:b w:val="0"/>
          <w:bCs w:val="0"/>
          <w:i/>
          <w:iCs/>
          <w:color w:val="000000" w:themeColor="text1"/>
          <w:sz w:val="24"/>
          <w:szCs w:val="24"/>
          <w:u w:val="none"/>
          <w14:textFill>
            <w14:solidFill>
              <w14:schemeClr w14:val="tx1"/>
            </w14:solidFill>
          </w14:textFill>
        </w:rPr>
        <w:t>1) date de identificare</w:t>
      </w:r>
      <w:r>
        <w:rPr>
          <w:rFonts w:hint="default" w:ascii="Times New Roman" w:hAnsi="Times New Roman"/>
          <w:b w:val="0"/>
          <w:bCs w:val="0"/>
          <w:color w:val="000000" w:themeColor="text1"/>
          <w:sz w:val="24"/>
          <w:szCs w:val="24"/>
          <w14:textFill>
            <w14:solidFill>
              <w14:schemeClr w14:val="tx1"/>
            </w14:solidFill>
          </w14:textFill>
        </w:rPr>
        <w:t xml:space="preserve"> (denumire completă a produsului, tipul/modelul/codul de produs; domeniul de utilizare; standardele de fabricație aplicabile; numele, adresa și datele de identificare a producătorului; țara de origine, anul fabricației; numărul de serie etc); </w:t>
      </w:r>
      <w:r>
        <w:rPr>
          <w:rFonts w:hint="default" w:ascii="Times New Roman" w:hAnsi="Times New Roman"/>
          <w:b w:val="0"/>
          <w:bCs w:val="0"/>
          <w:i/>
          <w:iCs/>
          <w:color w:val="000000" w:themeColor="text1"/>
          <w:sz w:val="24"/>
          <w:szCs w:val="24"/>
          <w:u w:val="none"/>
          <w14:textFill>
            <w14:solidFill>
              <w14:schemeClr w14:val="tx1"/>
            </w14:solidFill>
          </w14:textFill>
        </w:rPr>
        <w:t>2) parametrii tehnici nominali</w:t>
      </w:r>
      <w:r>
        <w:rPr>
          <w:rFonts w:hint="default" w:ascii="Times New Roman" w:hAnsi="Times New Roman"/>
          <w:b w:val="0"/>
          <w:bCs w:val="0"/>
          <w:color w:val="000000" w:themeColor="text1"/>
          <w:sz w:val="24"/>
          <w:szCs w:val="24"/>
          <w14:textFill>
            <w14:solidFill>
              <w14:schemeClr w14:val="tx1"/>
            </w14:solidFill>
          </w14:textFill>
        </w:rPr>
        <w:t xml:space="preserve"> (diametre, presiuni, temperaturi; clasă de etanșietate; sensul de curgere; poziție de montaj admisă ș.a.); </w:t>
      </w:r>
      <w:r>
        <w:rPr>
          <w:rFonts w:hint="default" w:ascii="Times New Roman" w:hAnsi="Times New Roman"/>
          <w:b w:val="0"/>
          <w:bCs w:val="0"/>
          <w:i/>
          <w:iCs/>
          <w:color w:val="000000" w:themeColor="text1"/>
          <w:sz w:val="24"/>
          <w:szCs w:val="24"/>
          <w:u w:val="none"/>
          <w14:textFill>
            <w14:solidFill>
              <w14:schemeClr w14:val="tx1"/>
            </w14:solidFill>
          </w14:textFill>
        </w:rPr>
        <w:t>3) caracteristici constructive și materiale</w:t>
      </w:r>
      <w:r>
        <w:rPr>
          <w:rFonts w:hint="default" w:ascii="Times New Roman" w:hAnsi="Times New Roman"/>
          <w:b w:val="0"/>
          <w:bCs w:val="0"/>
          <w:color w:val="000000" w:themeColor="text1"/>
          <w:sz w:val="24"/>
          <w:szCs w:val="24"/>
          <w14:textFill>
            <w14:solidFill>
              <w14:schemeClr w14:val="tx1"/>
            </w14:solidFill>
          </w14:textFill>
        </w:rPr>
        <w:t xml:space="preserve"> (tip construcție; materialul corpului și a celorlalte componente; tip racordare și standardele aferente; tipul mecanismului de acționare etc.) </w:t>
      </w:r>
      <w:r>
        <w:rPr>
          <w:rFonts w:hint="default" w:ascii="Times New Roman" w:hAnsi="Times New Roman"/>
          <w:b w:val="0"/>
          <w:bCs w:val="0"/>
          <w:i/>
          <w:iCs/>
          <w:color w:val="000000" w:themeColor="text1"/>
          <w:sz w:val="24"/>
          <w:szCs w:val="24"/>
          <w:u w:val="none"/>
          <w14:textFill>
            <w14:solidFill>
              <w14:schemeClr w14:val="tx1"/>
            </w14:solidFill>
          </w14:textFill>
        </w:rPr>
        <w:t>4) informații despre protecția anticorozivă</w:t>
      </w:r>
      <w:r>
        <w:rPr>
          <w:rFonts w:hint="default" w:ascii="Times New Roman" w:hAnsi="Times New Roman"/>
          <w:b w:val="0"/>
          <w:bCs w:val="0"/>
          <w:color w:val="000000" w:themeColor="text1"/>
          <w:sz w:val="24"/>
          <w:szCs w:val="24"/>
          <w14:textFill>
            <w14:solidFill>
              <w14:schemeClr w14:val="tx1"/>
            </w14:solidFill>
          </w14:textFill>
        </w:rPr>
        <w:t xml:space="preserve"> (tipul stratului de protecție; metoda de aplicare; grosimea stratului ș.a.); </w:t>
      </w:r>
      <w:r>
        <w:rPr>
          <w:rFonts w:hint="default" w:ascii="Times New Roman" w:hAnsi="Times New Roman"/>
          <w:b w:val="0"/>
          <w:bCs w:val="0"/>
          <w:i/>
          <w:iCs/>
          <w:color w:val="000000" w:themeColor="text1"/>
          <w:sz w:val="24"/>
          <w:szCs w:val="24"/>
          <w:u w:val="none"/>
          <w14:textFill>
            <w14:solidFill>
              <w14:schemeClr w14:val="tx1"/>
            </w14:solidFill>
          </w14:textFill>
        </w:rPr>
        <w:t>5) informații despre încercări, teste și controlul calității</w:t>
      </w:r>
      <w:r>
        <w:rPr>
          <w:rFonts w:hint="default" w:ascii="Times New Roman" w:hAnsi="Times New Roman"/>
          <w:b w:val="0"/>
          <w:bCs w:val="0"/>
          <w:color w:val="000000" w:themeColor="text1"/>
          <w:sz w:val="24"/>
          <w:szCs w:val="24"/>
          <w14:textFill>
            <w14:solidFill>
              <w14:schemeClr w14:val="tx1"/>
            </w14:solidFill>
          </w14:textFill>
        </w:rPr>
        <w:t xml:space="preserve"> (tipurile de încercări efectuate și rezultatele obținute; semnătura producătorului sau a organismului de control); </w:t>
      </w:r>
      <w:r>
        <w:rPr>
          <w:rFonts w:hint="default" w:ascii="Times New Roman" w:hAnsi="Times New Roman"/>
          <w:b w:val="0"/>
          <w:bCs w:val="0"/>
          <w:i/>
          <w:iCs/>
          <w:color w:val="000000" w:themeColor="text1"/>
          <w:sz w:val="24"/>
          <w:szCs w:val="24"/>
          <w:u w:val="none"/>
          <w14:textFill>
            <w14:solidFill>
              <w14:schemeClr w14:val="tx1"/>
            </w14:solidFill>
          </w14:textFill>
        </w:rPr>
        <w:t>6) informații privind conformitatea și reglementările aplicabile;</w:t>
      </w:r>
      <w:r>
        <w:rPr>
          <w:rFonts w:hint="default" w:ascii="Times New Roman" w:hAnsi="Times New Roman"/>
          <w:b w:val="0"/>
          <w:bCs w:val="0"/>
          <w:color w:val="000000" w:themeColor="text1"/>
          <w:sz w:val="24"/>
          <w:szCs w:val="24"/>
          <w14:textFill>
            <w14:solidFill>
              <w14:schemeClr w14:val="tx1"/>
            </w14:solidFill>
          </w14:textFill>
        </w:rPr>
        <w:t xml:space="preserve"> </w:t>
      </w:r>
      <w:r>
        <w:rPr>
          <w:rFonts w:hint="default" w:ascii="Times New Roman" w:hAnsi="Times New Roman"/>
          <w:b w:val="0"/>
          <w:bCs w:val="0"/>
          <w:i/>
          <w:iCs/>
          <w:color w:val="000000" w:themeColor="text1"/>
          <w:sz w:val="24"/>
          <w:szCs w:val="24"/>
          <w:u w:val="none"/>
          <w14:textFill>
            <w14:solidFill>
              <w14:schemeClr w14:val="tx1"/>
            </w14:solidFill>
          </w14:textFill>
        </w:rPr>
        <w:t>7) instrucțiuni de montaj și exploatare;</w:t>
      </w:r>
      <w:r>
        <w:rPr>
          <w:rFonts w:hint="default" w:ascii="Times New Roman" w:hAnsi="Times New Roman"/>
          <w:b w:val="0"/>
          <w:bCs w:val="0"/>
          <w:color w:val="000000" w:themeColor="text1"/>
          <w:sz w:val="24"/>
          <w:szCs w:val="24"/>
          <w14:textFill>
            <w14:solidFill>
              <w14:schemeClr w14:val="tx1"/>
            </w14:solidFill>
          </w14:textFill>
        </w:rPr>
        <w:t xml:space="preserve"> (condiții generale; recomandări; interdicții și avertizări tehnice; condiții de depozitare etc.); </w:t>
      </w:r>
      <w:r>
        <w:rPr>
          <w:rFonts w:hint="default" w:ascii="Times New Roman" w:hAnsi="Times New Roman"/>
          <w:b w:val="0"/>
          <w:bCs w:val="0"/>
          <w:i/>
          <w:iCs/>
          <w:color w:val="000000" w:themeColor="text1"/>
          <w:sz w:val="24"/>
          <w:szCs w:val="24"/>
          <w:u w:val="none"/>
          <w14:textFill>
            <w14:solidFill>
              <w14:schemeClr w14:val="tx1"/>
            </w14:solidFill>
          </w14:textFill>
        </w:rPr>
        <w:t>8) date privind fiabilitatea și durata de viață</w:t>
      </w:r>
      <w:r>
        <w:rPr>
          <w:rFonts w:hint="default" w:ascii="Times New Roman" w:hAnsi="Times New Roman"/>
          <w:b w:val="0"/>
          <w:bCs w:val="0"/>
          <w:color w:val="000000" w:themeColor="text1"/>
          <w:sz w:val="24"/>
          <w:szCs w:val="24"/>
          <w14:textFill>
            <w14:solidFill>
              <w14:schemeClr w14:val="tx1"/>
            </w14:solidFill>
          </w14:textFill>
        </w:rPr>
        <w:t xml:space="preserve"> (durata de viață proiectată; numărul estimat de cicluri de manevare; intervale recomandate de inspecție/ mentenanță; condiții de întreținere); </w:t>
      </w:r>
      <w:r>
        <w:rPr>
          <w:rFonts w:hint="default" w:ascii="Times New Roman" w:hAnsi="Times New Roman"/>
          <w:b w:val="0"/>
          <w:bCs w:val="0"/>
          <w:i/>
          <w:iCs/>
          <w:color w:val="000000" w:themeColor="text1"/>
          <w:sz w:val="24"/>
          <w:szCs w:val="24"/>
          <w:u w:val="none"/>
          <w14:textFill>
            <w14:solidFill>
              <w14:schemeClr w14:val="tx1"/>
            </w14:solidFill>
          </w14:textFill>
        </w:rPr>
        <w:t>9) garanția și responsabilitatea părților</w:t>
      </w:r>
      <w:r>
        <w:rPr>
          <w:rFonts w:hint="default" w:ascii="Times New Roman" w:hAnsi="Times New Roman"/>
          <w:b w:val="0"/>
          <w:bCs w:val="0"/>
          <w:color w:val="000000" w:themeColor="text1"/>
          <w:sz w:val="24"/>
          <w:szCs w:val="24"/>
          <w14:textFill>
            <w14:solidFill>
              <w14:schemeClr w14:val="tx1"/>
            </w14:solidFill>
          </w14:textFill>
        </w:rPr>
        <w:t xml:space="preserve"> (perioada de garanție; condițiile de pierdere a garanției; obligațiile producătorului, furnizorului și cumpărătorului).</w:t>
      </w:r>
    </w:p>
    <w:p>
      <w:pPr>
        <w:keepNext w:val="0"/>
        <w:keepLines w:val="0"/>
        <w:pageBreakBefore w:val="0"/>
        <w:widowControl/>
        <w:numPr>
          <w:ilvl w:val="0"/>
          <w:numId w:val="18"/>
        </w:numPr>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highlight w:val="none"/>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certificatul de garanție comercială/tehnică</w:t>
      </w:r>
      <w:r>
        <w:rPr>
          <w:rFonts w:hint="default" w:ascii="Times New Roman" w:hAnsi="Times New Roman"/>
          <w:b w:val="0"/>
          <w:bCs w:val="0"/>
          <w:color w:val="000000" w:themeColor="text1"/>
          <w:sz w:val="24"/>
          <w:szCs w:val="24"/>
          <w:highlight w:val="none"/>
          <w14:textFill>
            <w14:solidFill>
              <w14:schemeClr w14:val="tx1"/>
            </w14:solidFill>
          </w14:textFill>
        </w:rPr>
        <w:t>, în original</w:t>
      </w:r>
      <w:r>
        <w:rPr>
          <w:rFonts w:hint="default" w:ascii="Times New Roman" w:hAnsi="Times New Roman"/>
          <w:b w:val="0"/>
          <w:bCs w:val="0"/>
          <w:i/>
          <w:iCs/>
          <w:color w:val="000000" w:themeColor="text1"/>
          <w:sz w:val="24"/>
          <w:szCs w:val="24"/>
          <w:highlight w:val="none"/>
          <w14:textFill>
            <w14:solidFill>
              <w14:schemeClr w14:val="tx1"/>
            </w14:solidFill>
          </w14:textFill>
        </w:rPr>
        <w:t xml:space="preserve"> - emis în conformitate cu art. 24 din Legea 105/2003 privind protecția consumatorilor;</w:t>
      </w:r>
    </w:p>
    <w:p>
      <w:pPr>
        <w:keepNext w:val="0"/>
        <w:keepLines w:val="0"/>
        <w:pageBreakBefore w:val="0"/>
        <w:widowControl/>
        <w:numPr>
          <w:ilvl w:val="0"/>
          <w:numId w:val="18"/>
        </w:numPr>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highlight w:val="none"/>
          <w14:textFill>
            <w14:solidFill>
              <w14:schemeClr w14:val="tx1"/>
            </w14:solidFill>
          </w14:textFill>
        </w:rPr>
      </w:pPr>
      <w:r>
        <w:rPr>
          <w:rFonts w:hint="default" w:ascii="Times New Roman" w:hAnsi="Times New Roman"/>
          <w:b w:val="0"/>
          <w:bCs w:val="0"/>
          <w:color w:val="000000" w:themeColor="text1"/>
          <w:sz w:val="24"/>
          <w:szCs w:val="24"/>
          <w:highlight w:val="none"/>
          <w14:textFill>
            <w14:solidFill>
              <w14:schemeClr w14:val="tx1"/>
            </w14:solidFill>
          </w14:textFill>
        </w:rPr>
        <w:t>manualul de utilizare/ instrucțiuni de exploatare (руководство по эксплуатации), în original - documentul va fi redactat în limba română sau rusă; în situația în care documentația tehnică originală este emisă într-o limbă de circulație internațională (engleză, franceză), aceasta va fi însoțită obligatoriu de o traducere autorizată în limba română sau limba rusă, traducerea urmând a fi prezentată în formă scrisă și asumând caracter oficial.</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Produsele care în procesul de transport au suferit deteriorări vor fi înlocuite din contul Vânzătorului (operatorului economic).</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Bunurile furnizate trebuie să</w:t>
      </w:r>
      <w:r>
        <w:rPr>
          <w:rFonts w:hint="default" w:ascii="Times New Roman" w:hAnsi="Times New Roman"/>
          <w:b w:val="0"/>
          <w:bCs w:val="0"/>
          <w:color w:val="000000" w:themeColor="text1"/>
          <w:sz w:val="24"/>
          <w:szCs w:val="24"/>
          <w:highlight w:val="none"/>
          <w14:textFill>
            <w14:solidFill>
              <w14:schemeClr w14:val="tx1"/>
            </w14:solidFill>
          </w14:textFill>
        </w:rPr>
        <w:t xml:space="preserve"> fie fabricate în anul 2025 sau ulterior. La li</w:t>
      </w:r>
      <w:r>
        <w:rPr>
          <w:rFonts w:hint="default" w:ascii="Times New Roman" w:hAnsi="Times New Roman"/>
          <w:b w:val="0"/>
          <w:bCs w:val="0"/>
          <w:color w:val="000000" w:themeColor="text1"/>
          <w:sz w:val="24"/>
          <w:szCs w:val="24"/>
          <w14:textFill>
            <w14:solidFill>
              <w14:schemeClr w14:val="tx1"/>
            </w14:solidFill>
          </w14:textFill>
        </w:rPr>
        <w:t>vrare, Furnizorul va prezenta documentele justificative relevante, din care să rezulte în mod explicit anul fabricației.</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Activitatea de descărcarea a bunurilor este pusă pe seama entității contractante. Ofertanții nu vor include în propunerea sa financiară costurile de descărcare a bunurilor la adresa Cumpărătorului. Propunerea financiară (oferta) trebuie să fie fixă și să includă toate costurile (de producție, de ambalare, de încărcare, de manipulare, de transport extern și intern), taxele (texele vamale) și cheltuielile (comisioanele, primele de asigurare a transportului (dacă se cere)) aferente furnizării bunurilor până la locul livrării, indiferent de țara de origine a mărfii.</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p>
    <w:p>
      <w:pPr>
        <w:keepNext w:val="0"/>
        <w:keepLines w:val="0"/>
        <w:pageBreakBefore w:val="0"/>
        <w:widowControl/>
        <w:numPr>
          <w:ilvl w:val="0"/>
          <w:numId w:val="1"/>
        </w:numPr>
        <w:kinsoku/>
        <w:wordWrap/>
        <w:overflowPunct/>
        <w:topLinePunct w:val="0"/>
        <w:autoSpaceDE/>
        <w:autoSpaceDN/>
        <w:bidi w:val="0"/>
        <w:adjustRightInd/>
        <w:snapToGrid/>
        <w:spacing w:line="252" w:lineRule="auto"/>
        <w:ind w:left="0" w:leftChars="0" w:firstLine="482" w:firstLineChars="200"/>
        <w:textAlignment w:val="auto"/>
        <w:rPr>
          <w:rFonts w:hint="default" w:ascii="Times New Roman" w:hAnsi="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Documente obligatorii la depunerea ofertei. Criteriile de calificare și de selecție</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Documentele obligatorii la depunerea ofertei vor fi menționate în Anunțul de participare.</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252" w:lineRule="auto"/>
        <w:ind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p>
    <w:p>
      <w:pPr>
        <w:keepNext w:val="0"/>
        <w:keepLines w:val="0"/>
        <w:pageBreakBefore w:val="0"/>
        <w:widowControl/>
        <w:numPr>
          <w:ilvl w:val="0"/>
          <w:numId w:val="1"/>
        </w:numPr>
        <w:kinsoku/>
        <w:wordWrap/>
        <w:overflowPunct/>
        <w:topLinePunct w:val="0"/>
        <w:autoSpaceDE/>
        <w:autoSpaceDN/>
        <w:bidi w:val="0"/>
        <w:adjustRightInd/>
        <w:snapToGrid/>
        <w:spacing w:line="252" w:lineRule="auto"/>
        <w:ind w:left="0" w:leftChars="0" w:firstLine="482" w:firstLineChars="200"/>
        <w:textAlignment w:val="auto"/>
        <w:rPr>
          <w:rFonts w:hint="default" w:ascii="Times New Roman" w:hAnsi="Times New Roman"/>
          <w:b/>
          <w:bCs/>
          <w:color w:val="000000" w:themeColor="text1"/>
          <w:sz w:val="24"/>
          <w:szCs w:val="24"/>
          <w14:textFill>
            <w14:solidFill>
              <w14:schemeClr w14:val="tx1"/>
            </w14:solidFill>
          </w14:textFill>
        </w:rPr>
      </w:pPr>
      <w:r>
        <w:rPr>
          <w:rFonts w:hint="default" w:ascii="Times New Roman" w:hAnsi="Times New Roman"/>
          <w:b/>
          <w:bCs/>
          <w:color w:val="000000" w:themeColor="text1"/>
          <w:sz w:val="24"/>
          <w:szCs w:val="24"/>
          <w14:textFill>
            <w14:solidFill>
              <w14:schemeClr w14:val="tx1"/>
            </w14:solidFill>
          </w14:textFill>
        </w:rPr>
        <w:t>Garanții</w:t>
      </w:r>
    </w:p>
    <w:p>
      <w:pPr>
        <w:keepNext w:val="0"/>
        <w:keepLines w:val="0"/>
        <w:pageBreakBefore w:val="0"/>
        <w:widowControl/>
        <w:numPr>
          <w:ilvl w:val="1"/>
          <w:numId w:val="1"/>
        </w:numPr>
        <w:tabs>
          <w:tab w:val="left" w:pos="1000"/>
          <w:tab w:val="clear" w:pos="850"/>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Operatorul economic câștigător (Furnizorul) până la semnarea contractului, sau cel târziu, în termen de 5 (cinci) zile după semnarea contractului, este obligat să prezinte entității contractante (Cumpărătorului) asigurarea executării contractului sub formă de garanție bancară sau transfer bancar, în mărime de 15% (cincisprezece procente) din suma totală a contractului (inclusiv TVA), ce trebuie să fie valabilă până la executarea deplină a contractului (livrarea deplină a bunurilor).</w:t>
      </w:r>
    </w:p>
    <w:p>
      <w:pPr>
        <w:keepNext w:val="0"/>
        <w:keepLines w:val="0"/>
        <w:pageBreakBefore w:val="0"/>
        <w:widowControl/>
        <w:numPr>
          <w:ilvl w:val="1"/>
          <w:numId w:val="1"/>
        </w:numPr>
        <w:tabs>
          <w:tab w:val="left" w:pos="1000"/>
          <w:tab w:val="clear" w:pos="850"/>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Cumpărătorul are dreptul de a emite pretenții asupra garanției de bună execuție, dacă Furnizorul nu își execută, execută cu întârziere sau execută necorespunzător obligațiile contractuale.</w:t>
      </w:r>
    </w:p>
    <w:p>
      <w:pPr>
        <w:keepNext w:val="0"/>
        <w:keepLines w:val="0"/>
        <w:pageBreakBefore w:val="0"/>
        <w:widowControl/>
        <w:numPr>
          <w:ilvl w:val="1"/>
          <w:numId w:val="1"/>
        </w:numPr>
        <w:tabs>
          <w:tab w:val="left" w:pos="1000"/>
          <w:tab w:val="clear" w:pos="850"/>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color w:val="000000" w:themeColor="text1"/>
          <w:sz w:val="24"/>
          <w:szCs w:val="24"/>
          <w14:textFill>
            <w14:solidFill>
              <w14:schemeClr w14:val="tx1"/>
            </w14:solidFill>
          </w14:textFill>
        </w:rPr>
      </w:pPr>
      <w:r>
        <w:rPr>
          <w:rFonts w:hint="default" w:ascii="Times New Roman" w:hAnsi="Times New Roman"/>
          <w:b w:val="0"/>
          <w:bCs w:val="0"/>
          <w:color w:val="000000" w:themeColor="text1"/>
          <w:sz w:val="24"/>
          <w:szCs w:val="24"/>
          <w14:textFill>
            <w14:solidFill>
              <w14:schemeClr w14:val="tx1"/>
            </w14:solidFill>
          </w14:textFill>
        </w:rPr>
        <w:t>Pentru refuzul de a semna contractul sau pentru retragerea ofertei după termenul limită de deschidere a ofertelor, operatorul economic (ofertantul) achită o penalitate către entitatea contractantă în cuantum de 10% (zece procente) din suma ofertei.</w:t>
      </w:r>
    </w:p>
    <w:p>
      <w:pPr>
        <w:keepNext w:val="0"/>
        <w:keepLines w:val="0"/>
        <w:pageBreakBefore w:val="0"/>
        <w:widowControl/>
        <w:numPr>
          <w:ilvl w:val="1"/>
          <w:numId w:val="1"/>
        </w:numPr>
        <w:tabs>
          <w:tab w:val="left" w:pos="1000"/>
          <w:tab w:val="clear" w:pos="850"/>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sz w:val="24"/>
          <w:szCs w:val="24"/>
        </w:rPr>
      </w:pPr>
      <w:r>
        <w:rPr>
          <w:rFonts w:hint="default" w:ascii="Times New Roman" w:hAnsi="Times New Roman"/>
          <w:b w:val="0"/>
          <w:bCs w:val="0"/>
          <w:color w:val="000000" w:themeColor="text1"/>
          <w:sz w:val="24"/>
          <w:szCs w:val="24"/>
          <w14:textFill>
            <w14:solidFill>
              <w14:schemeClr w14:val="tx1"/>
            </w14:solidFill>
          </w14:textFill>
        </w:rPr>
        <w:t xml:space="preserve">Operatorul economic desemnat câștigător are obligația de a garanta că bunurile livrate în baza contractului nu va prezenta vicii, inclusiv ascunse. Dacă Cumpărătorul va depista prezența </w:t>
      </w:r>
      <w:r>
        <w:rPr>
          <w:rFonts w:hint="default" w:ascii="Times New Roman" w:hAnsi="Times New Roman"/>
          <w:b w:val="0"/>
          <w:bCs w:val="0"/>
          <w:sz w:val="24"/>
          <w:szCs w:val="24"/>
        </w:rPr>
        <w:t>viciilor ascunse, operatorul economic este obligat să înlăture viciul în termen de 5 (cinci) zile, fără costuri suplimentare pentru Cumpărător.</w:t>
      </w:r>
    </w:p>
    <w:p>
      <w:pPr>
        <w:keepNext w:val="0"/>
        <w:keepLines w:val="0"/>
        <w:pageBreakBefore w:val="0"/>
        <w:widowControl/>
        <w:numPr>
          <w:ilvl w:val="1"/>
          <w:numId w:val="1"/>
        </w:numPr>
        <w:tabs>
          <w:tab w:val="left" w:pos="1000"/>
          <w:tab w:val="clear" w:pos="850"/>
        </w:tabs>
        <w:kinsoku/>
        <w:wordWrap/>
        <w:overflowPunct/>
        <w:topLinePunct w:val="0"/>
        <w:autoSpaceDE/>
        <w:autoSpaceDN/>
        <w:bidi w:val="0"/>
        <w:adjustRightInd/>
        <w:snapToGrid/>
        <w:spacing w:line="252" w:lineRule="auto"/>
        <w:ind w:left="0" w:leftChars="0" w:firstLine="480" w:firstLineChars="200"/>
        <w:jc w:val="both"/>
        <w:textAlignment w:val="auto"/>
        <w:rPr>
          <w:rFonts w:hint="default" w:ascii="Times New Roman" w:hAnsi="Times New Roman"/>
          <w:b w:val="0"/>
          <w:bCs w:val="0"/>
          <w:sz w:val="24"/>
          <w:szCs w:val="24"/>
        </w:rPr>
      </w:pPr>
      <w:r>
        <w:rPr>
          <w:rFonts w:hint="default" w:ascii="Times New Roman" w:hAnsi="Times New Roman"/>
          <w:b w:val="0"/>
          <w:bCs w:val="0"/>
          <w:sz w:val="24"/>
          <w:szCs w:val="24"/>
        </w:rPr>
        <w:t>Garanția tehnică/comercială este distinctă de garanția de bună execuție. Termenul de garanție a bunurilor va fi echivalent garanției oferite de producător. Furnizorul nu poate stabili un termen de garanţie mai mic decât termenul stabilit de producător.</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ind w:firstLine="480" w:firstLineChars="200"/>
        <w:jc w:val="both"/>
        <w:textAlignment w:val="auto"/>
        <w:rPr>
          <w:rFonts w:hint="default" w:ascii="Times New Roman" w:hAnsi="Times New Roman"/>
          <w:b w:val="0"/>
          <w:bCs w:val="0"/>
          <w:sz w:val="24"/>
          <w:szCs w:val="24"/>
        </w:rPr>
      </w:pPr>
    </w:p>
    <w:p>
      <w:pPr>
        <w:keepNext w:val="0"/>
        <w:keepLines w:val="0"/>
        <w:pageBreakBefore w:val="0"/>
        <w:widowControl/>
        <w:numPr>
          <w:ilvl w:val="0"/>
          <w:numId w:val="1"/>
        </w:numPr>
        <w:kinsoku/>
        <w:wordWrap/>
        <w:overflowPunct/>
        <w:topLinePunct w:val="0"/>
        <w:autoSpaceDE/>
        <w:autoSpaceDN/>
        <w:bidi w:val="0"/>
        <w:adjustRightInd/>
        <w:snapToGrid/>
        <w:ind w:left="0" w:leftChars="0" w:firstLine="482" w:firstLineChars="200"/>
        <w:textAlignment w:val="auto"/>
        <w:rPr>
          <w:rFonts w:hint="default" w:ascii="Times New Roman" w:hAnsi="Times New Roman"/>
          <w:b/>
          <w:bCs/>
          <w:sz w:val="24"/>
          <w:szCs w:val="24"/>
        </w:rPr>
      </w:pPr>
      <w:r>
        <w:rPr>
          <w:rFonts w:hint="default" w:ascii="Times New Roman" w:hAnsi="Times New Roman"/>
          <w:b/>
          <w:bCs/>
          <w:sz w:val="24"/>
          <w:szCs w:val="24"/>
        </w:rPr>
        <w:t>Relații de contact:</w:t>
      </w:r>
      <w:r>
        <w:rPr>
          <w:rFonts w:hint="default" w:ascii="Times New Roman" w:hAnsi="Times New Roman"/>
          <w:b/>
          <w:bCs/>
          <w:sz w:val="24"/>
          <w:szCs w:val="24"/>
        </w:rPr>
        <w:tab/>
      </w:r>
      <w:r>
        <w:rPr>
          <w:rFonts w:hint="default" w:ascii="Times New Roman" w:hAnsi="Times New Roman"/>
          <w:b w:val="0"/>
          <w:bCs w:val="0"/>
          <w:sz w:val="24"/>
          <w:szCs w:val="24"/>
        </w:rPr>
        <w:t>Șefă secție în domeniul dezvoltării și planificării, SMP - Ciolac Ala</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textAlignment w:val="auto"/>
        <w:rPr>
          <w:rFonts w:hint="default" w:ascii="Times New Roman" w:hAnsi="Times New Roman"/>
          <w:b w:val="0"/>
          <w:bCs w:val="0"/>
          <w:sz w:val="24"/>
          <w:szCs w:val="24"/>
        </w:rPr>
      </w:pP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Tel: + 373 (231) 5-33-47</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textAlignment w:val="auto"/>
        <w:rPr>
          <w:rFonts w:hint="default" w:ascii="Times New Roman" w:hAnsi="Times New Roman"/>
          <w:b w:val="0"/>
          <w:bCs w:val="0"/>
          <w:sz w:val="24"/>
          <w:szCs w:val="24"/>
        </w:rPr>
      </w:pP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ab/>
      </w:r>
      <w:r>
        <w:rPr>
          <w:rFonts w:hint="default" w:ascii="Times New Roman" w:hAnsi="Times New Roman"/>
          <w:b w:val="0"/>
          <w:bCs w:val="0"/>
          <w:sz w:val="24"/>
          <w:szCs w:val="24"/>
        </w:rPr>
        <w:t xml:space="preserve">E-mail: </w:t>
      </w:r>
      <w:r>
        <w:rPr>
          <w:rFonts w:hint="default" w:ascii="Times New Roman" w:hAnsi="Times New Roman"/>
          <w:b w:val="0"/>
          <w:bCs w:val="0"/>
          <w:sz w:val="24"/>
          <w:szCs w:val="24"/>
        </w:rPr>
        <w:fldChar w:fldCharType="begin"/>
      </w:r>
      <w:r>
        <w:rPr>
          <w:rFonts w:hint="default" w:ascii="Times New Roman" w:hAnsi="Times New Roman"/>
          <w:b w:val="0"/>
          <w:bCs w:val="0"/>
          <w:sz w:val="24"/>
          <w:szCs w:val="24"/>
        </w:rPr>
        <w:instrText xml:space="preserve"> HYPERLINK "mailto:office@cet-nord.md" </w:instrText>
      </w:r>
      <w:r>
        <w:rPr>
          <w:rFonts w:hint="default" w:ascii="Times New Roman" w:hAnsi="Times New Roman"/>
          <w:b w:val="0"/>
          <w:bCs w:val="0"/>
          <w:sz w:val="24"/>
          <w:szCs w:val="24"/>
        </w:rPr>
        <w:fldChar w:fldCharType="separate"/>
      </w:r>
      <w:r>
        <w:rPr>
          <w:rStyle w:val="5"/>
          <w:rFonts w:hint="default" w:ascii="Times New Roman" w:hAnsi="Times New Roman"/>
          <w:b w:val="0"/>
          <w:bCs w:val="0"/>
          <w:sz w:val="24"/>
          <w:szCs w:val="24"/>
        </w:rPr>
        <w:t>office@cet-nord.md</w:t>
      </w:r>
      <w:r>
        <w:rPr>
          <w:rFonts w:hint="default" w:ascii="Times New Roman" w:hAnsi="Times New Roman"/>
          <w:b w:val="0"/>
          <w:bCs w:val="0"/>
          <w:sz w:val="24"/>
          <w:szCs w:val="24"/>
        </w:rPr>
        <w:fldChar w:fldCharType="end"/>
      </w:r>
    </w:p>
    <w:p>
      <w:pPr>
        <w:keepNext w:val="0"/>
        <w:keepLines w:val="0"/>
        <w:pageBreakBefore w:val="0"/>
        <w:widowControl/>
        <w:numPr>
          <w:ilvl w:val="0"/>
          <w:numId w:val="0"/>
        </w:numPr>
        <w:tabs>
          <w:tab w:val="left" w:pos="425"/>
        </w:tabs>
        <w:kinsoku/>
        <w:wordWrap/>
        <w:overflowPunct/>
        <w:topLinePunct w:val="0"/>
        <w:autoSpaceDE/>
        <w:autoSpaceDN/>
        <w:bidi w:val="0"/>
        <w:adjustRightInd/>
        <w:snapToGrid/>
        <w:textAlignment w:val="auto"/>
        <w:rPr>
          <w:rFonts w:hint="default" w:ascii="Times New Roman" w:hAnsi="Times New Roman"/>
          <w:b w:val="0"/>
          <w:bCs w:val="0"/>
          <w:sz w:val="24"/>
          <w:szCs w:val="24"/>
        </w:rPr>
      </w:pP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300" w:lineRule="auto"/>
        <w:textAlignment w:val="auto"/>
        <w:rPr>
          <w:rFonts w:hint="default" w:ascii="Times New Roman" w:hAnsi="Times New Roman"/>
          <w:b w:val="0"/>
          <w:bCs w:val="0"/>
          <w:sz w:val="22"/>
          <w:szCs w:val="22"/>
        </w:rPr>
      </w:pPr>
      <w:r>
        <w:rPr>
          <w:rFonts w:hint="default" w:ascii="Times New Roman" w:hAnsi="Times New Roman"/>
          <w:b/>
          <w:bCs/>
          <w:sz w:val="22"/>
          <w:szCs w:val="22"/>
        </w:rPr>
        <w:t>Elaborat:</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300" w:lineRule="auto"/>
        <w:textAlignment w:val="auto"/>
        <w:rPr>
          <w:rFonts w:hint="default" w:ascii="Times New Roman" w:hAnsi="Times New Roman"/>
          <w:b w:val="0"/>
          <w:bCs w:val="0"/>
          <w:sz w:val="22"/>
          <w:szCs w:val="22"/>
          <w:highlight w:val="none"/>
        </w:rPr>
      </w:pPr>
      <w:r>
        <w:rPr>
          <w:rFonts w:hint="default" w:ascii="Times New Roman" w:hAnsi="Times New Roman"/>
          <w:b w:val="0"/>
          <w:bCs w:val="0"/>
          <w:sz w:val="22"/>
          <w:szCs w:val="22"/>
          <w:highlight w:val="none"/>
        </w:rPr>
        <w:t>Agent achiziții, SMP, Basistîi Alexandr</w:t>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ab/>
      </w:r>
      <w:r>
        <w:rPr>
          <w:rFonts w:hint="default" w:ascii="Times New Roman" w:hAnsi="Times New Roman"/>
          <w:b w:val="0"/>
          <w:bCs w:val="0"/>
          <w:sz w:val="22"/>
          <w:szCs w:val="22"/>
          <w:highlight w:val="none"/>
        </w:rPr>
        <w:t>_______________</w:t>
      </w:r>
    </w:p>
    <w:p>
      <w:pPr>
        <w:keepNext w:val="0"/>
        <w:keepLines w:val="0"/>
        <w:pageBreakBefore w:val="0"/>
        <w:widowControl/>
        <w:numPr>
          <w:ilvl w:val="0"/>
          <w:numId w:val="0"/>
        </w:numPr>
        <w:tabs>
          <w:tab w:val="left" w:pos="425"/>
        </w:tabs>
        <w:kinsoku/>
        <w:wordWrap/>
        <w:overflowPunct/>
        <w:topLinePunct w:val="0"/>
        <w:autoSpaceDE/>
        <w:autoSpaceDN/>
        <w:bidi w:val="0"/>
        <w:adjustRightInd/>
        <w:snapToGrid/>
        <w:spacing w:line="300" w:lineRule="auto"/>
        <w:textAlignment w:val="auto"/>
        <w:rPr>
          <w:rFonts w:hint="default" w:ascii="Times New Roman" w:hAnsi="Times New Roman"/>
          <w:b w:val="0"/>
          <w:bCs w:val="0"/>
          <w:sz w:val="22"/>
          <w:szCs w:val="22"/>
          <w:highlight w:val="none"/>
        </w:rPr>
      </w:pPr>
      <w:r>
        <w:rPr>
          <w:rFonts w:hint="default" w:ascii="Times New Roman" w:hAnsi="Times New Roman"/>
          <w:b w:val="0"/>
          <w:bCs w:val="0"/>
          <w:sz w:val="22"/>
          <w:szCs w:val="22"/>
          <w:highlight w:val="none"/>
        </w:rPr>
        <w:t xml:space="preserve">Data: </w:t>
      </w:r>
      <w:r>
        <w:rPr>
          <w:rFonts w:hint="default" w:ascii="Times New Roman" w:hAnsi="Times New Roman"/>
          <w:b w:val="0"/>
          <w:bCs w:val="0"/>
          <w:sz w:val="22"/>
          <w:szCs w:val="22"/>
          <w:highlight w:val="none"/>
          <w:u w:val="single"/>
        </w:rPr>
        <w:t>13.02.2026</w:t>
      </w:r>
    </w:p>
    <w:p>
      <w:pPr>
        <w:keepNext w:val="0"/>
        <w:keepLines w:val="0"/>
        <w:pageBreakBefore w:val="0"/>
        <w:widowControl/>
        <w:kinsoku/>
        <w:wordWrap/>
        <w:overflowPunct/>
        <w:topLinePunct w:val="0"/>
        <w:autoSpaceDE/>
        <w:autoSpaceDN/>
        <w:bidi w:val="0"/>
        <w:adjustRightInd/>
        <w:snapToGrid/>
        <w:spacing w:line="300" w:lineRule="auto"/>
        <w:textAlignment w:val="auto"/>
        <w:rPr>
          <w:rFonts w:hint="default" w:ascii="Times New Roman" w:hAnsi="Times New Roman"/>
          <w:sz w:val="22"/>
          <w:szCs w:val="22"/>
          <w:highlight w:val="none"/>
        </w:rPr>
      </w:pPr>
    </w:p>
    <w:p>
      <w:pPr>
        <w:keepNext w:val="0"/>
        <w:keepLines w:val="0"/>
        <w:pageBreakBefore w:val="0"/>
        <w:widowControl/>
        <w:kinsoku/>
        <w:wordWrap/>
        <w:overflowPunct/>
        <w:topLinePunct w:val="0"/>
        <w:autoSpaceDE/>
        <w:autoSpaceDN/>
        <w:bidi w:val="0"/>
        <w:adjustRightInd/>
        <w:snapToGrid/>
        <w:spacing w:line="300" w:lineRule="auto"/>
        <w:textAlignment w:val="auto"/>
        <w:rPr>
          <w:rFonts w:hint="default" w:ascii="Times New Roman" w:hAnsi="Times New Roman"/>
          <w:sz w:val="22"/>
          <w:szCs w:val="22"/>
          <w:highlight w:val="none"/>
        </w:rPr>
      </w:pPr>
      <w:r>
        <w:rPr>
          <w:rFonts w:hint="default" w:ascii="Times New Roman" w:hAnsi="Times New Roman"/>
          <w:b/>
          <w:bCs/>
          <w:sz w:val="22"/>
          <w:szCs w:val="22"/>
          <w:highlight w:val="none"/>
        </w:rPr>
        <w:t>COORDONAT</w:t>
      </w:r>
    </w:p>
    <w:p>
      <w:pPr>
        <w:keepNext w:val="0"/>
        <w:keepLines w:val="0"/>
        <w:pageBreakBefore w:val="0"/>
        <w:widowControl/>
        <w:kinsoku/>
        <w:wordWrap/>
        <w:overflowPunct/>
        <w:topLinePunct w:val="0"/>
        <w:autoSpaceDE/>
        <w:autoSpaceDN/>
        <w:bidi w:val="0"/>
        <w:adjustRightInd/>
        <w:snapToGrid/>
        <w:spacing w:line="420" w:lineRule="auto"/>
        <w:textAlignment w:val="auto"/>
        <w:rPr>
          <w:rFonts w:hint="default" w:ascii="Times New Roman" w:hAnsi="Times New Roman"/>
          <w:sz w:val="22"/>
          <w:szCs w:val="22"/>
          <w:highlight w:val="none"/>
        </w:rPr>
      </w:pPr>
      <w:r>
        <w:rPr>
          <w:rFonts w:hint="default" w:ascii="Times New Roman" w:hAnsi="Times New Roman"/>
          <w:sz w:val="22"/>
          <w:szCs w:val="22"/>
          <w:highlight w:val="none"/>
        </w:rPr>
        <w:t>Șef departament în industria prelucrătoare, DT Savin Igor</w:t>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_______________</w:t>
      </w:r>
    </w:p>
    <w:p>
      <w:pPr>
        <w:keepNext w:val="0"/>
        <w:keepLines w:val="0"/>
        <w:pageBreakBefore w:val="0"/>
        <w:widowControl/>
        <w:kinsoku/>
        <w:wordWrap/>
        <w:overflowPunct/>
        <w:topLinePunct w:val="0"/>
        <w:autoSpaceDE/>
        <w:autoSpaceDN/>
        <w:bidi w:val="0"/>
        <w:adjustRightInd/>
        <w:snapToGrid/>
        <w:spacing w:line="420" w:lineRule="auto"/>
        <w:textAlignment w:val="auto"/>
        <w:rPr>
          <w:rFonts w:hint="default" w:ascii="Times New Roman" w:hAnsi="Times New Roman"/>
          <w:sz w:val="22"/>
          <w:szCs w:val="22"/>
          <w:highlight w:val="none"/>
        </w:rPr>
      </w:pPr>
      <w:r>
        <w:rPr>
          <w:rFonts w:hint="default" w:ascii="Times New Roman" w:hAnsi="Times New Roman"/>
          <w:sz w:val="22"/>
          <w:szCs w:val="22"/>
          <w:highlight w:val="none"/>
        </w:rPr>
        <w:t>Șefă secție în domeniul dezvoltării și planificării SMP, Ciolac Ala</w:t>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_______________</w:t>
      </w:r>
    </w:p>
    <w:p>
      <w:pPr>
        <w:keepNext w:val="0"/>
        <w:keepLines w:val="0"/>
        <w:pageBreakBefore w:val="0"/>
        <w:widowControl/>
        <w:kinsoku/>
        <w:wordWrap/>
        <w:overflowPunct/>
        <w:topLinePunct w:val="0"/>
        <w:autoSpaceDE/>
        <w:autoSpaceDN/>
        <w:bidi w:val="0"/>
        <w:adjustRightInd/>
        <w:snapToGrid/>
        <w:spacing w:line="420" w:lineRule="auto"/>
        <w:textAlignment w:val="auto"/>
        <w:rPr>
          <w:rFonts w:hint="default" w:ascii="Times New Roman" w:hAnsi="Times New Roman"/>
          <w:sz w:val="22"/>
          <w:szCs w:val="22"/>
          <w:highlight w:val="none"/>
        </w:rPr>
      </w:pPr>
      <w:r>
        <w:rPr>
          <w:rFonts w:hint="default" w:ascii="Times New Roman" w:hAnsi="Times New Roman"/>
          <w:sz w:val="22"/>
          <w:szCs w:val="22"/>
          <w:highlight w:val="none"/>
        </w:rPr>
        <w:t>Șef secție în industria prelucrătoare (mentenanță rețele termice), SMRT Pascari Andrei</w:t>
      </w:r>
      <w:r>
        <w:rPr>
          <w:rFonts w:hint="default" w:ascii="Times New Roman" w:hAnsi="Times New Roman"/>
          <w:sz w:val="22"/>
          <w:szCs w:val="22"/>
          <w:highlight w:val="none"/>
        </w:rPr>
        <w:tab/>
      </w:r>
      <w:r>
        <w:rPr>
          <w:rFonts w:hint="default" w:ascii="Times New Roman" w:hAnsi="Times New Roman"/>
          <w:sz w:val="22"/>
          <w:szCs w:val="22"/>
          <w:highlight w:val="none"/>
        </w:rPr>
        <w:t>_______________</w:t>
      </w:r>
    </w:p>
    <w:p>
      <w:pPr>
        <w:keepNext w:val="0"/>
        <w:keepLines w:val="0"/>
        <w:pageBreakBefore w:val="0"/>
        <w:widowControl/>
        <w:kinsoku/>
        <w:wordWrap/>
        <w:overflowPunct/>
        <w:topLinePunct w:val="0"/>
        <w:autoSpaceDE/>
        <w:autoSpaceDN/>
        <w:bidi w:val="0"/>
        <w:adjustRightInd/>
        <w:snapToGrid/>
        <w:spacing w:line="420" w:lineRule="auto"/>
        <w:textAlignment w:val="auto"/>
        <w:rPr>
          <w:rFonts w:hint="default" w:ascii="Times New Roman" w:hAnsi="Times New Roman"/>
          <w:sz w:val="22"/>
          <w:szCs w:val="22"/>
          <w:highlight w:val="none"/>
        </w:rPr>
      </w:pPr>
      <w:r>
        <w:rPr>
          <w:rFonts w:hint="default" w:ascii="Times New Roman" w:hAnsi="Times New Roman"/>
          <w:sz w:val="22"/>
          <w:szCs w:val="22"/>
          <w:highlight w:val="none"/>
        </w:rPr>
        <w:t>Șef secție în industria prelucrătoare (cazane și turbine), SCT Sosna Igor</w:t>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_______________</w:t>
      </w:r>
    </w:p>
    <w:p>
      <w:pPr>
        <w:keepNext w:val="0"/>
        <w:keepLines w:val="0"/>
        <w:pageBreakBefore w:val="0"/>
        <w:widowControl/>
        <w:kinsoku/>
        <w:wordWrap/>
        <w:overflowPunct/>
        <w:topLinePunct w:val="0"/>
        <w:autoSpaceDE/>
        <w:autoSpaceDN/>
        <w:bidi w:val="0"/>
        <w:adjustRightInd/>
        <w:snapToGrid/>
        <w:spacing w:line="420" w:lineRule="auto"/>
        <w:textAlignment w:val="auto"/>
        <w:rPr>
          <w:rFonts w:hint="default" w:ascii="Times New Roman" w:hAnsi="Times New Roman"/>
          <w:sz w:val="22"/>
          <w:szCs w:val="22"/>
          <w:highlight w:val="none"/>
        </w:rPr>
      </w:pPr>
      <w:r>
        <w:rPr>
          <w:rFonts w:hint="default" w:ascii="Times New Roman" w:hAnsi="Times New Roman"/>
          <w:sz w:val="22"/>
          <w:szCs w:val="22"/>
          <w:highlight w:val="none"/>
        </w:rPr>
        <w:t>Șefă secție în industria prelucrătoare (chimică), SCH Bajora Tatiana</w:t>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_______________</w:t>
      </w:r>
    </w:p>
    <w:p>
      <w:pPr>
        <w:keepNext w:val="0"/>
        <w:keepLines w:val="0"/>
        <w:pageBreakBefore w:val="0"/>
        <w:widowControl/>
        <w:kinsoku/>
        <w:wordWrap/>
        <w:overflowPunct/>
        <w:topLinePunct w:val="0"/>
        <w:autoSpaceDE/>
        <w:autoSpaceDN/>
        <w:bidi w:val="0"/>
        <w:adjustRightInd/>
        <w:snapToGrid/>
        <w:spacing w:line="420" w:lineRule="auto"/>
        <w:textAlignment w:val="auto"/>
        <w:rPr>
          <w:rFonts w:hint="default" w:ascii="Times New Roman" w:hAnsi="Times New Roman"/>
          <w:sz w:val="22"/>
          <w:szCs w:val="22"/>
          <w:highlight w:val="none"/>
        </w:rPr>
      </w:pPr>
      <w:r>
        <w:rPr>
          <w:rFonts w:hint="default" w:ascii="Times New Roman" w:hAnsi="Times New Roman"/>
          <w:sz w:val="22"/>
          <w:szCs w:val="22"/>
          <w:highlight w:val="none"/>
        </w:rPr>
        <w:t>Șef secție în industria prelucrătoare (automatică și verificări), SAV Lucașenco Igor</w:t>
      </w:r>
      <w:r>
        <w:rPr>
          <w:rFonts w:hint="default" w:ascii="Times New Roman" w:hAnsi="Times New Roman"/>
          <w:sz w:val="22"/>
          <w:szCs w:val="22"/>
          <w:highlight w:val="none"/>
        </w:rPr>
        <w:tab/>
      </w:r>
      <w:r>
        <w:rPr>
          <w:rFonts w:hint="default" w:ascii="Times New Roman" w:hAnsi="Times New Roman"/>
          <w:sz w:val="22"/>
          <w:szCs w:val="22"/>
          <w:highlight w:val="none"/>
        </w:rPr>
        <w:tab/>
      </w:r>
      <w:r>
        <w:rPr>
          <w:rFonts w:hint="default" w:ascii="Times New Roman" w:hAnsi="Times New Roman"/>
          <w:sz w:val="22"/>
          <w:szCs w:val="22"/>
          <w:highlight w:val="none"/>
        </w:rPr>
        <w:t>_______________</w:t>
      </w:r>
    </w:p>
    <w:p>
      <w:pPr>
        <w:keepNext w:val="0"/>
        <w:keepLines w:val="0"/>
        <w:pageBreakBefore w:val="0"/>
        <w:widowControl/>
        <w:kinsoku/>
        <w:wordWrap/>
        <w:overflowPunct/>
        <w:topLinePunct w:val="0"/>
        <w:autoSpaceDE/>
        <w:autoSpaceDN/>
        <w:bidi w:val="0"/>
        <w:adjustRightInd/>
        <w:snapToGrid/>
        <w:spacing w:line="420" w:lineRule="auto"/>
        <w:textAlignment w:val="auto"/>
        <w:rPr>
          <w:rFonts w:hint="default" w:ascii="Times New Roman" w:hAnsi="Times New Roman"/>
          <w:sz w:val="22"/>
          <w:szCs w:val="22"/>
          <w:highlight w:val="none"/>
        </w:rPr>
      </w:pPr>
    </w:p>
    <w:p>
      <w:pPr>
        <w:keepNext w:val="0"/>
        <w:keepLines w:val="0"/>
        <w:pageBreakBefore w:val="0"/>
        <w:widowControl/>
        <w:kinsoku/>
        <w:wordWrap/>
        <w:overflowPunct/>
        <w:topLinePunct w:val="0"/>
        <w:autoSpaceDE/>
        <w:autoSpaceDN/>
        <w:bidi w:val="0"/>
        <w:adjustRightInd/>
        <w:snapToGrid/>
        <w:spacing w:line="420" w:lineRule="auto"/>
        <w:textAlignment w:val="auto"/>
        <w:rPr>
          <w:rFonts w:hint="default" w:ascii="Times New Roman" w:hAnsi="Times New Roman"/>
          <w:sz w:val="22"/>
          <w:szCs w:val="22"/>
          <w:highlight w:val="none"/>
        </w:rPr>
      </w:pPr>
    </w:p>
    <w:sectPr>
      <w:footerReference r:id="rId3" w:type="default"/>
      <w:pgSz w:w="11906" w:h="16838"/>
      <w:pgMar w:top="1134" w:right="567" w:bottom="1134" w:left="1701" w:header="720" w:footer="720"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20"/>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PAGE  \* MERGEFORMAT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1</w:t>
                          </w:r>
                          <w:r>
                            <w:rPr>
                              <w:rFonts w:hint="default" w:ascii="Times New Roman" w:hAnsi="Times New Roman" w:cs="Times New Roman"/>
                              <w:color w:val="000000" w:themeColor="text1"/>
                              <w:sz w:val="24"/>
                              <w:szCs w:val="24"/>
                              <w14:textFill>
                                <w14:solidFill>
                                  <w14:schemeClr w14:val="tx1"/>
                                </w14:solidFill>
                              </w14:textFill>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zSVju0AAAAAUB&#10;AAAPAAAAAAAAAAEAIAAAACIAAABkcnMvZG93bnJldi54bWxQSwECFAAUAAAACACHTuJAyi6E/yMC&#10;AAAlBAAADgAAAAAAAAABACAAAAAfAQAAZHJzL2Uyb0RvYy54bWxQSwUGAAAAAAYABgBZAQAAtAUA&#10;AAAA&#10;">
              <v:fill on="f" focussize="0,0"/>
              <v:stroke on="f" weight="0.5pt"/>
              <v:imagedata o:title=""/>
              <o:lock v:ext="edit" aspectratio="f"/>
              <v:textbox inset="0mm,0mm,0mm,0mm" style="mso-fit-shape-to-text:t;">
                <w:txbxContent>
                  <w:p>
                    <w:pPr>
                      <w:pStyle w:val="3"/>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PAGE  \* MERGEFORMAT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1</w:t>
                    </w:r>
                    <w:r>
                      <w:rPr>
                        <w:rFonts w:hint="default" w:ascii="Times New Roman" w:hAnsi="Times New Roman" w:cs="Times New Roman"/>
                        <w:color w:val="000000" w:themeColor="text1"/>
                        <w:sz w:val="24"/>
                        <w:szCs w:val="24"/>
                        <w14:textFill>
                          <w14:solidFill>
                            <w14:schemeClr w14:val="tx1"/>
                          </w14:solidFill>
                        </w14:textFill>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E77477"/>
    <w:multiLevelType w:val="singleLevel"/>
    <w:tmpl w:val="80E77477"/>
    <w:lvl w:ilvl="0" w:tentative="0">
      <w:start w:val="1"/>
      <w:numFmt w:val="decimal"/>
      <w:lvlText w:val="%1."/>
      <w:lvlJc w:val="left"/>
      <w:pPr>
        <w:tabs>
          <w:tab w:val="left" w:pos="425"/>
        </w:tabs>
        <w:ind w:left="425" w:leftChars="0" w:hanging="425" w:firstLineChars="0"/>
      </w:pPr>
      <w:rPr>
        <w:rFonts w:hint="default"/>
      </w:rPr>
    </w:lvl>
  </w:abstractNum>
  <w:abstractNum w:abstractNumId="1">
    <w:nsid w:val="8F9919FB"/>
    <w:multiLevelType w:val="singleLevel"/>
    <w:tmpl w:val="8F9919FB"/>
    <w:lvl w:ilvl="0" w:tentative="0">
      <w:start w:val="1"/>
      <w:numFmt w:val="decimal"/>
      <w:lvlText w:val="%1)"/>
      <w:lvlJc w:val="left"/>
      <w:pPr>
        <w:tabs>
          <w:tab w:val="left" w:pos="425"/>
        </w:tabs>
        <w:ind w:left="425" w:leftChars="0" w:hanging="425" w:firstLineChars="0"/>
      </w:pPr>
      <w:rPr>
        <w:rFonts w:hint="default"/>
      </w:rPr>
    </w:lvl>
  </w:abstractNum>
  <w:abstractNum w:abstractNumId="2">
    <w:nsid w:val="BBAB8AC0"/>
    <w:multiLevelType w:val="singleLevel"/>
    <w:tmpl w:val="BBAB8AC0"/>
    <w:lvl w:ilvl="0" w:tentative="0">
      <w:start w:val="1"/>
      <w:numFmt w:val="decimal"/>
      <w:lvlText w:val="%1)"/>
      <w:lvlJc w:val="left"/>
      <w:pPr>
        <w:tabs>
          <w:tab w:val="left" w:pos="425"/>
        </w:tabs>
        <w:ind w:left="425" w:leftChars="0" w:hanging="425" w:firstLineChars="0"/>
      </w:pPr>
      <w:rPr>
        <w:rFonts w:hint="default"/>
      </w:rPr>
    </w:lvl>
  </w:abstractNum>
  <w:abstractNum w:abstractNumId="3">
    <w:nsid w:val="C8ABD5EA"/>
    <w:multiLevelType w:val="multilevel"/>
    <w:tmpl w:val="C8ABD5EA"/>
    <w:lvl w:ilvl="0" w:tentative="0">
      <w:start w:val="1"/>
      <w:numFmt w:val="decimal"/>
      <w:lvlText w:val="%1."/>
      <w:lvlJc w:val="left"/>
      <w:pPr>
        <w:tabs>
          <w:tab w:val="left" w:pos="425"/>
        </w:tabs>
        <w:ind w:left="425" w:leftChars="0" w:hanging="425" w:firstLineChars="0"/>
      </w:pPr>
      <w:rPr>
        <w:rFonts w:hint="default"/>
      </w:rPr>
    </w:lvl>
    <w:lvl w:ilvl="1" w:tentative="0">
      <w:start w:val="1"/>
      <w:numFmt w:val="decimal"/>
      <w:lvlText w:val="%1.%2."/>
      <w:lvlJc w:val="left"/>
      <w:pPr>
        <w:tabs>
          <w:tab w:val="left" w:pos="850"/>
        </w:tabs>
        <w:ind w:left="850" w:leftChars="0" w:hanging="453" w:firstLineChars="0"/>
      </w:pPr>
      <w:rPr>
        <w:rFonts w:hint="default"/>
      </w:rPr>
    </w:lvl>
    <w:lvl w:ilvl="2" w:tentative="0">
      <w:start w:val="1"/>
      <w:numFmt w:val="decimal"/>
      <w:lvlText w:val="%1.%2.%3."/>
      <w:lvlJc w:val="left"/>
      <w:pPr>
        <w:tabs>
          <w:tab w:val="left" w:pos="1508"/>
        </w:tabs>
        <w:ind w:left="1508" w:leftChars="0" w:hanging="708" w:firstLineChars="0"/>
      </w:pPr>
      <w:rPr>
        <w:rFonts w:hint="default"/>
      </w:rPr>
    </w:lvl>
    <w:lvl w:ilvl="3" w:tentative="0">
      <w:start w:val="1"/>
      <w:numFmt w:val="decimal"/>
      <w:lvlText w:val="%1.%2.%3.%4."/>
      <w:lvlJc w:val="left"/>
      <w:pPr>
        <w:tabs>
          <w:tab w:val="left" w:pos="2053"/>
        </w:tabs>
        <w:ind w:left="2053" w:leftChars="0" w:hanging="853" w:firstLineChars="0"/>
      </w:pPr>
      <w:rPr>
        <w:rFonts w:hint="default"/>
      </w:rPr>
    </w:lvl>
    <w:lvl w:ilvl="4" w:tentative="0">
      <w:start w:val="1"/>
      <w:numFmt w:val="decimal"/>
      <w:lvlText w:val="%1.%2.%3.%4.%5."/>
      <w:lvlJc w:val="left"/>
      <w:pPr>
        <w:tabs>
          <w:tab w:val="left" w:pos="2495"/>
        </w:tabs>
        <w:ind w:left="2495" w:leftChars="0" w:hanging="895" w:firstLineChars="0"/>
      </w:pPr>
      <w:rPr>
        <w:rFonts w:hint="default"/>
      </w:rPr>
    </w:lvl>
    <w:lvl w:ilvl="5" w:tentative="0">
      <w:start w:val="1"/>
      <w:numFmt w:val="decimal"/>
      <w:lvlText w:val="%1.%2.%3.%4.%5.%6."/>
      <w:lvlJc w:val="left"/>
      <w:pPr>
        <w:tabs>
          <w:tab w:val="left" w:pos="3136"/>
        </w:tabs>
        <w:ind w:left="3136" w:leftChars="0" w:hanging="1136" w:firstLineChars="0"/>
      </w:pPr>
      <w:rPr>
        <w:rFonts w:hint="default"/>
      </w:rPr>
    </w:lvl>
    <w:lvl w:ilvl="6" w:tentative="0">
      <w:start w:val="1"/>
      <w:numFmt w:val="decimal"/>
      <w:lvlText w:val="%1.%2.%3.%4.%5.%6.%7."/>
      <w:lvlJc w:val="left"/>
      <w:pPr>
        <w:tabs>
          <w:tab w:val="left" w:pos="3673"/>
        </w:tabs>
        <w:ind w:left="3673" w:leftChars="0" w:hanging="1273" w:firstLineChars="0"/>
      </w:pPr>
      <w:rPr>
        <w:rFonts w:hint="default"/>
      </w:rPr>
    </w:lvl>
    <w:lvl w:ilvl="7" w:tentative="0">
      <w:start w:val="1"/>
      <w:numFmt w:val="decimal"/>
      <w:lvlText w:val="%1.%2.%3.%4.%5.%6.%7.%8."/>
      <w:lvlJc w:val="left"/>
      <w:pPr>
        <w:tabs>
          <w:tab w:val="left" w:pos="4218"/>
        </w:tabs>
        <w:ind w:left="4218" w:leftChars="0" w:hanging="1418" w:firstLineChars="0"/>
      </w:pPr>
      <w:rPr>
        <w:rFonts w:hint="default"/>
      </w:rPr>
    </w:lvl>
    <w:lvl w:ilvl="8" w:tentative="0">
      <w:start w:val="1"/>
      <w:numFmt w:val="decimal"/>
      <w:lvlText w:val="%1.%2.%3.%4.%5.%6.%7.%8.%9."/>
      <w:lvlJc w:val="left"/>
      <w:pPr>
        <w:tabs>
          <w:tab w:val="left" w:pos="4648"/>
        </w:tabs>
        <w:ind w:left="4648" w:leftChars="0" w:hanging="1448" w:firstLineChars="0"/>
      </w:pPr>
      <w:rPr>
        <w:rFonts w:hint="default"/>
      </w:rPr>
    </w:lvl>
  </w:abstractNum>
  <w:abstractNum w:abstractNumId="4">
    <w:nsid w:val="CA21CEDF"/>
    <w:multiLevelType w:val="singleLevel"/>
    <w:tmpl w:val="CA21CEDF"/>
    <w:lvl w:ilvl="0" w:tentative="0">
      <w:start w:val="1"/>
      <w:numFmt w:val="decimal"/>
      <w:lvlText w:val="%1."/>
      <w:lvlJc w:val="left"/>
      <w:pPr>
        <w:tabs>
          <w:tab w:val="left" w:pos="425"/>
        </w:tabs>
        <w:ind w:left="425" w:leftChars="0" w:hanging="425" w:firstLineChars="0"/>
      </w:pPr>
      <w:rPr>
        <w:rFonts w:hint="default"/>
      </w:rPr>
    </w:lvl>
  </w:abstractNum>
  <w:abstractNum w:abstractNumId="5">
    <w:nsid w:val="D3F933B2"/>
    <w:multiLevelType w:val="singleLevel"/>
    <w:tmpl w:val="D3F933B2"/>
    <w:lvl w:ilvl="0" w:tentative="0">
      <w:start w:val="1"/>
      <w:numFmt w:val="decimal"/>
      <w:lvlText w:val="%1."/>
      <w:lvlJc w:val="left"/>
      <w:pPr>
        <w:tabs>
          <w:tab w:val="left" w:pos="425"/>
        </w:tabs>
        <w:ind w:left="425" w:leftChars="0" w:hanging="425" w:firstLineChars="0"/>
      </w:pPr>
      <w:rPr>
        <w:rFonts w:hint="default"/>
      </w:rPr>
    </w:lvl>
  </w:abstractNum>
  <w:abstractNum w:abstractNumId="6">
    <w:nsid w:val="F2B42A23"/>
    <w:multiLevelType w:val="singleLevel"/>
    <w:tmpl w:val="F2B42A23"/>
    <w:lvl w:ilvl="0" w:tentative="0">
      <w:start w:val="1"/>
      <w:numFmt w:val="bullet"/>
      <w:lvlText w:val="–"/>
      <w:lvlJc w:val="left"/>
      <w:pPr>
        <w:tabs>
          <w:tab w:val="left" w:pos="420"/>
        </w:tabs>
        <w:ind w:left="420" w:leftChars="0" w:hanging="420" w:firstLineChars="0"/>
      </w:pPr>
      <w:rPr>
        <w:rFonts w:hint="default" w:ascii="Times New Roman" w:hAnsi="Times New Roman" w:cs="Times New Roman"/>
      </w:rPr>
    </w:lvl>
  </w:abstractNum>
  <w:abstractNum w:abstractNumId="7">
    <w:nsid w:val="F746FBFC"/>
    <w:multiLevelType w:val="singleLevel"/>
    <w:tmpl w:val="F746FBFC"/>
    <w:lvl w:ilvl="0" w:tentative="0">
      <w:start w:val="1"/>
      <w:numFmt w:val="decimal"/>
      <w:lvlText w:val="%1)"/>
      <w:lvlJc w:val="left"/>
      <w:pPr>
        <w:tabs>
          <w:tab w:val="left" w:pos="425"/>
        </w:tabs>
        <w:ind w:left="425" w:leftChars="0" w:hanging="425" w:firstLineChars="0"/>
      </w:pPr>
      <w:rPr>
        <w:rFonts w:hint="default"/>
      </w:rPr>
    </w:lvl>
  </w:abstractNum>
  <w:abstractNum w:abstractNumId="8">
    <w:nsid w:val="F98230EA"/>
    <w:multiLevelType w:val="singleLevel"/>
    <w:tmpl w:val="F98230EA"/>
    <w:lvl w:ilvl="0" w:tentative="0">
      <w:start w:val="1"/>
      <w:numFmt w:val="decimal"/>
      <w:lvlText w:val="%1)"/>
      <w:lvlJc w:val="left"/>
      <w:pPr>
        <w:tabs>
          <w:tab w:val="left" w:pos="425"/>
        </w:tabs>
        <w:ind w:left="425" w:leftChars="0" w:hanging="425" w:firstLineChars="0"/>
      </w:pPr>
      <w:rPr>
        <w:rFonts w:hint="default"/>
      </w:rPr>
    </w:lvl>
  </w:abstractNum>
  <w:abstractNum w:abstractNumId="9">
    <w:nsid w:val="05D8CCB6"/>
    <w:multiLevelType w:val="singleLevel"/>
    <w:tmpl w:val="05D8CCB6"/>
    <w:lvl w:ilvl="0" w:tentative="0">
      <w:start w:val="1"/>
      <w:numFmt w:val="decimal"/>
      <w:lvlText w:val="%1)"/>
      <w:lvlJc w:val="left"/>
      <w:pPr>
        <w:tabs>
          <w:tab w:val="left" w:pos="425"/>
        </w:tabs>
        <w:ind w:left="425" w:leftChars="0" w:hanging="425" w:firstLineChars="0"/>
      </w:pPr>
      <w:rPr>
        <w:rFonts w:hint="default"/>
      </w:rPr>
    </w:lvl>
  </w:abstractNum>
  <w:abstractNum w:abstractNumId="10">
    <w:nsid w:val="1DCB181E"/>
    <w:multiLevelType w:val="singleLevel"/>
    <w:tmpl w:val="1DCB181E"/>
    <w:lvl w:ilvl="0" w:tentative="0">
      <w:start w:val="1"/>
      <w:numFmt w:val="decimal"/>
      <w:lvlText w:val="%1)"/>
      <w:lvlJc w:val="left"/>
      <w:pPr>
        <w:tabs>
          <w:tab w:val="left" w:pos="425"/>
        </w:tabs>
        <w:ind w:left="425" w:leftChars="0" w:hanging="425" w:firstLineChars="0"/>
      </w:pPr>
      <w:rPr>
        <w:rFonts w:hint="default"/>
      </w:rPr>
    </w:lvl>
  </w:abstractNum>
  <w:abstractNum w:abstractNumId="11">
    <w:nsid w:val="2818E982"/>
    <w:multiLevelType w:val="singleLevel"/>
    <w:tmpl w:val="2818E982"/>
    <w:lvl w:ilvl="0" w:tentative="0">
      <w:start w:val="1"/>
      <w:numFmt w:val="lowerLetter"/>
      <w:lvlText w:val="%1)"/>
      <w:lvlJc w:val="left"/>
      <w:pPr>
        <w:tabs>
          <w:tab w:val="left" w:pos="425"/>
        </w:tabs>
        <w:ind w:left="425" w:leftChars="0" w:hanging="425" w:firstLineChars="0"/>
      </w:pPr>
      <w:rPr>
        <w:rFonts w:hint="default"/>
      </w:rPr>
    </w:lvl>
  </w:abstractNum>
  <w:abstractNum w:abstractNumId="12">
    <w:nsid w:val="4D0FDAC4"/>
    <w:multiLevelType w:val="singleLevel"/>
    <w:tmpl w:val="4D0FDAC4"/>
    <w:lvl w:ilvl="0" w:tentative="0">
      <w:start w:val="1"/>
      <w:numFmt w:val="decimal"/>
      <w:lvlText w:val="%1."/>
      <w:lvlJc w:val="left"/>
      <w:pPr>
        <w:tabs>
          <w:tab w:val="left" w:pos="425"/>
        </w:tabs>
        <w:ind w:left="425" w:leftChars="0" w:hanging="425" w:firstLineChars="0"/>
      </w:pPr>
      <w:rPr>
        <w:rFonts w:hint="default"/>
      </w:rPr>
    </w:lvl>
  </w:abstractNum>
  <w:abstractNum w:abstractNumId="13">
    <w:nsid w:val="528B2DC3"/>
    <w:multiLevelType w:val="singleLevel"/>
    <w:tmpl w:val="528B2DC3"/>
    <w:lvl w:ilvl="0" w:tentative="0">
      <w:start w:val="1"/>
      <w:numFmt w:val="decimal"/>
      <w:lvlText w:val="%1."/>
      <w:lvlJc w:val="left"/>
      <w:pPr>
        <w:tabs>
          <w:tab w:val="left" w:pos="425"/>
        </w:tabs>
        <w:ind w:left="425" w:leftChars="0" w:hanging="425" w:firstLineChars="0"/>
      </w:pPr>
      <w:rPr>
        <w:rFonts w:hint="default"/>
      </w:rPr>
    </w:lvl>
  </w:abstractNum>
  <w:abstractNum w:abstractNumId="14">
    <w:nsid w:val="57A41FEE"/>
    <w:multiLevelType w:val="singleLevel"/>
    <w:tmpl w:val="57A41FEE"/>
    <w:lvl w:ilvl="0" w:tentative="0">
      <w:start w:val="1"/>
      <w:numFmt w:val="decimal"/>
      <w:lvlText w:val="%1)"/>
      <w:lvlJc w:val="left"/>
      <w:pPr>
        <w:tabs>
          <w:tab w:val="left" w:pos="425"/>
        </w:tabs>
        <w:ind w:left="425" w:leftChars="0" w:hanging="425" w:firstLineChars="0"/>
      </w:pPr>
      <w:rPr>
        <w:rFonts w:hint="default"/>
      </w:rPr>
    </w:lvl>
  </w:abstractNum>
  <w:abstractNum w:abstractNumId="15">
    <w:nsid w:val="5D5FC234"/>
    <w:multiLevelType w:val="singleLevel"/>
    <w:tmpl w:val="5D5FC234"/>
    <w:lvl w:ilvl="0" w:tentative="0">
      <w:start w:val="1"/>
      <w:numFmt w:val="decimal"/>
      <w:lvlText w:val="%1)"/>
      <w:lvlJc w:val="left"/>
      <w:pPr>
        <w:tabs>
          <w:tab w:val="left" w:pos="425"/>
        </w:tabs>
        <w:ind w:left="425" w:leftChars="0" w:hanging="425" w:firstLineChars="0"/>
      </w:pPr>
      <w:rPr>
        <w:rFonts w:hint="default"/>
      </w:rPr>
    </w:lvl>
  </w:abstractNum>
  <w:abstractNum w:abstractNumId="16">
    <w:nsid w:val="6474D550"/>
    <w:multiLevelType w:val="singleLevel"/>
    <w:tmpl w:val="6474D550"/>
    <w:lvl w:ilvl="0" w:tentative="0">
      <w:start w:val="1"/>
      <w:numFmt w:val="decimal"/>
      <w:lvlText w:val="%1)"/>
      <w:lvlJc w:val="left"/>
      <w:pPr>
        <w:tabs>
          <w:tab w:val="left" w:pos="425"/>
        </w:tabs>
        <w:ind w:left="425" w:leftChars="0" w:hanging="425" w:firstLineChars="0"/>
      </w:pPr>
      <w:rPr>
        <w:rFonts w:hint="default"/>
      </w:rPr>
    </w:lvl>
  </w:abstractNum>
  <w:abstractNum w:abstractNumId="17">
    <w:nsid w:val="7F2FFF0D"/>
    <w:multiLevelType w:val="singleLevel"/>
    <w:tmpl w:val="7F2FFF0D"/>
    <w:lvl w:ilvl="0" w:tentative="0">
      <w:start w:val="1"/>
      <w:numFmt w:val="decimal"/>
      <w:lvlText w:val="%1."/>
      <w:lvlJc w:val="left"/>
      <w:pPr>
        <w:tabs>
          <w:tab w:val="left" w:pos="425"/>
        </w:tabs>
        <w:ind w:left="425" w:leftChars="0" w:hanging="425" w:firstLineChars="0"/>
      </w:pPr>
      <w:rPr>
        <w:rFonts w:hint="default"/>
      </w:rPr>
    </w:lvl>
  </w:abstractNum>
  <w:num w:numId="1">
    <w:abstractNumId w:val="3"/>
  </w:num>
  <w:num w:numId="2">
    <w:abstractNumId w:val="11"/>
  </w:num>
  <w:num w:numId="3">
    <w:abstractNumId w:val="12"/>
  </w:num>
  <w:num w:numId="4">
    <w:abstractNumId w:val="13"/>
  </w:num>
  <w:num w:numId="5">
    <w:abstractNumId w:val="17"/>
  </w:num>
  <w:num w:numId="6">
    <w:abstractNumId w:val="4"/>
  </w:num>
  <w:num w:numId="7">
    <w:abstractNumId w:val="1"/>
  </w:num>
  <w:num w:numId="8">
    <w:abstractNumId w:val="2"/>
  </w:num>
  <w:num w:numId="9">
    <w:abstractNumId w:val="0"/>
  </w:num>
  <w:num w:numId="10">
    <w:abstractNumId w:val="7"/>
  </w:num>
  <w:num w:numId="11">
    <w:abstractNumId w:val="15"/>
  </w:num>
  <w:num w:numId="12">
    <w:abstractNumId w:val="14"/>
  </w:num>
  <w:num w:numId="13">
    <w:abstractNumId w:val="10"/>
  </w:num>
  <w:num w:numId="14">
    <w:abstractNumId w:val="16"/>
  </w:num>
  <w:num w:numId="15">
    <w:abstractNumId w:val="8"/>
  </w:num>
  <w:num w:numId="16">
    <w:abstractNumId w:val="5"/>
  </w:num>
  <w:num w:numId="17">
    <w:abstractNumId w:val="6"/>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mirrorMargin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E42C2"/>
    <w:rsid w:val="00A416C8"/>
    <w:rsid w:val="00CA7EF3"/>
    <w:rsid w:val="01140A44"/>
    <w:rsid w:val="01C81F7D"/>
    <w:rsid w:val="01E51653"/>
    <w:rsid w:val="02223017"/>
    <w:rsid w:val="02251E47"/>
    <w:rsid w:val="023C66B8"/>
    <w:rsid w:val="023F1C2D"/>
    <w:rsid w:val="024B4E8B"/>
    <w:rsid w:val="024C6E1D"/>
    <w:rsid w:val="02551850"/>
    <w:rsid w:val="02750E17"/>
    <w:rsid w:val="02893F2B"/>
    <w:rsid w:val="029C25A3"/>
    <w:rsid w:val="02A871D5"/>
    <w:rsid w:val="02BB546E"/>
    <w:rsid w:val="02BB7746"/>
    <w:rsid w:val="02E406A7"/>
    <w:rsid w:val="030B7449"/>
    <w:rsid w:val="03113D41"/>
    <w:rsid w:val="036B32E6"/>
    <w:rsid w:val="03D07C2B"/>
    <w:rsid w:val="03D73C3A"/>
    <w:rsid w:val="03D97251"/>
    <w:rsid w:val="03F04E05"/>
    <w:rsid w:val="0400509F"/>
    <w:rsid w:val="04122384"/>
    <w:rsid w:val="045D61BE"/>
    <w:rsid w:val="046B6862"/>
    <w:rsid w:val="048E1BE8"/>
    <w:rsid w:val="049658A0"/>
    <w:rsid w:val="04AC3384"/>
    <w:rsid w:val="04D94B9F"/>
    <w:rsid w:val="05143FCE"/>
    <w:rsid w:val="051E5B37"/>
    <w:rsid w:val="0554591A"/>
    <w:rsid w:val="055963D0"/>
    <w:rsid w:val="056952AA"/>
    <w:rsid w:val="05AC5251"/>
    <w:rsid w:val="05CB0C2E"/>
    <w:rsid w:val="063F7B4D"/>
    <w:rsid w:val="06AA4087"/>
    <w:rsid w:val="070C4C7B"/>
    <w:rsid w:val="07181210"/>
    <w:rsid w:val="07243642"/>
    <w:rsid w:val="073C6690"/>
    <w:rsid w:val="07580619"/>
    <w:rsid w:val="076E4E1D"/>
    <w:rsid w:val="078C7F62"/>
    <w:rsid w:val="07944BFB"/>
    <w:rsid w:val="079E10C3"/>
    <w:rsid w:val="07F33B09"/>
    <w:rsid w:val="07F400BC"/>
    <w:rsid w:val="080F06C8"/>
    <w:rsid w:val="08201C9A"/>
    <w:rsid w:val="08394337"/>
    <w:rsid w:val="0840650C"/>
    <w:rsid w:val="08605D5B"/>
    <w:rsid w:val="08660EDF"/>
    <w:rsid w:val="086A5D73"/>
    <w:rsid w:val="087F3986"/>
    <w:rsid w:val="089E2610"/>
    <w:rsid w:val="089E6732"/>
    <w:rsid w:val="08D9116F"/>
    <w:rsid w:val="08E40BFB"/>
    <w:rsid w:val="08E97E37"/>
    <w:rsid w:val="09237A58"/>
    <w:rsid w:val="097428B1"/>
    <w:rsid w:val="09AB7DD3"/>
    <w:rsid w:val="09EA3BC8"/>
    <w:rsid w:val="09EB1B27"/>
    <w:rsid w:val="0A3463D4"/>
    <w:rsid w:val="0A883E7C"/>
    <w:rsid w:val="0A8D0861"/>
    <w:rsid w:val="0A9E0109"/>
    <w:rsid w:val="0B731981"/>
    <w:rsid w:val="0B740309"/>
    <w:rsid w:val="0B8035E0"/>
    <w:rsid w:val="0B9F4614"/>
    <w:rsid w:val="0BB724BF"/>
    <w:rsid w:val="0BBE75D4"/>
    <w:rsid w:val="0BDF5492"/>
    <w:rsid w:val="0C2E497C"/>
    <w:rsid w:val="0C350139"/>
    <w:rsid w:val="0C6F3B75"/>
    <w:rsid w:val="0C83704C"/>
    <w:rsid w:val="0CCC61D3"/>
    <w:rsid w:val="0CE42333"/>
    <w:rsid w:val="0CF92FDF"/>
    <w:rsid w:val="0CF94F1E"/>
    <w:rsid w:val="0D381BED"/>
    <w:rsid w:val="0D3C1B45"/>
    <w:rsid w:val="0D4F024F"/>
    <w:rsid w:val="0D68657F"/>
    <w:rsid w:val="0DBF259D"/>
    <w:rsid w:val="0DC41546"/>
    <w:rsid w:val="0DD812F6"/>
    <w:rsid w:val="0E060C38"/>
    <w:rsid w:val="0E0E35B5"/>
    <w:rsid w:val="0E427D45"/>
    <w:rsid w:val="0E640249"/>
    <w:rsid w:val="0E9305FA"/>
    <w:rsid w:val="0EB0445F"/>
    <w:rsid w:val="0ECA2847"/>
    <w:rsid w:val="0EFC370B"/>
    <w:rsid w:val="0F0D7CC0"/>
    <w:rsid w:val="0F485D48"/>
    <w:rsid w:val="0F64082D"/>
    <w:rsid w:val="0F7D6985"/>
    <w:rsid w:val="10066A65"/>
    <w:rsid w:val="1023637B"/>
    <w:rsid w:val="103E1CE7"/>
    <w:rsid w:val="10B53725"/>
    <w:rsid w:val="10C073BF"/>
    <w:rsid w:val="10D8211D"/>
    <w:rsid w:val="10E26E98"/>
    <w:rsid w:val="10EF7E56"/>
    <w:rsid w:val="11006C21"/>
    <w:rsid w:val="111113BB"/>
    <w:rsid w:val="1126252E"/>
    <w:rsid w:val="112A08AE"/>
    <w:rsid w:val="115A4A25"/>
    <w:rsid w:val="11827FAF"/>
    <w:rsid w:val="118F3120"/>
    <w:rsid w:val="11991703"/>
    <w:rsid w:val="11B05FFB"/>
    <w:rsid w:val="11E14309"/>
    <w:rsid w:val="11F62CD9"/>
    <w:rsid w:val="11F81842"/>
    <w:rsid w:val="121E11C8"/>
    <w:rsid w:val="12234AA6"/>
    <w:rsid w:val="122D7349"/>
    <w:rsid w:val="12673D1E"/>
    <w:rsid w:val="129574DC"/>
    <w:rsid w:val="131768B6"/>
    <w:rsid w:val="132F270C"/>
    <w:rsid w:val="13723B46"/>
    <w:rsid w:val="13872098"/>
    <w:rsid w:val="13971790"/>
    <w:rsid w:val="13E12874"/>
    <w:rsid w:val="14583979"/>
    <w:rsid w:val="14EA7311"/>
    <w:rsid w:val="14F01BA0"/>
    <w:rsid w:val="15087171"/>
    <w:rsid w:val="15CC6EFF"/>
    <w:rsid w:val="15D445C1"/>
    <w:rsid w:val="162E7FA7"/>
    <w:rsid w:val="163C48C4"/>
    <w:rsid w:val="1646461D"/>
    <w:rsid w:val="16600074"/>
    <w:rsid w:val="166210B0"/>
    <w:rsid w:val="168C7BC0"/>
    <w:rsid w:val="16A82F3A"/>
    <w:rsid w:val="16EB3751"/>
    <w:rsid w:val="17021B71"/>
    <w:rsid w:val="17672AD1"/>
    <w:rsid w:val="17B62196"/>
    <w:rsid w:val="17B740FF"/>
    <w:rsid w:val="17FE1F19"/>
    <w:rsid w:val="18656713"/>
    <w:rsid w:val="188A5236"/>
    <w:rsid w:val="18A76350"/>
    <w:rsid w:val="18CC0A1E"/>
    <w:rsid w:val="18F8025A"/>
    <w:rsid w:val="19006E25"/>
    <w:rsid w:val="194C3B6E"/>
    <w:rsid w:val="195D69AD"/>
    <w:rsid w:val="19F5670C"/>
    <w:rsid w:val="19FB5CD2"/>
    <w:rsid w:val="1A120D80"/>
    <w:rsid w:val="1A3E28EA"/>
    <w:rsid w:val="1A407391"/>
    <w:rsid w:val="1A5B5BF0"/>
    <w:rsid w:val="1ADA169B"/>
    <w:rsid w:val="1B2468B2"/>
    <w:rsid w:val="1B280A4A"/>
    <w:rsid w:val="1B372568"/>
    <w:rsid w:val="1B8D0F40"/>
    <w:rsid w:val="1B9251A7"/>
    <w:rsid w:val="1BAF3189"/>
    <w:rsid w:val="1C11546A"/>
    <w:rsid w:val="1C4E0AC3"/>
    <w:rsid w:val="1C8F719B"/>
    <w:rsid w:val="1C9D31E1"/>
    <w:rsid w:val="1CB607F2"/>
    <w:rsid w:val="1CE75B04"/>
    <w:rsid w:val="1CEB7EA9"/>
    <w:rsid w:val="1D040005"/>
    <w:rsid w:val="1D2759F4"/>
    <w:rsid w:val="1D3D6906"/>
    <w:rsid w:val="1D5D0A62"/>
    <w:rsid w:val="1D7620D1"/>
    <w:rsid w:val="1D772EB6"/>
    <w:rsid w:val="1D774288"/>
    <w:rsid w:val="1D954CD0"/>
    <w:rsid w:val="1DA44C2D"/>
    <w:rsid w:val="1DBB5FF3"/>
    <w:rsid w:val="1DBD14EB"/>
    <w:rsid w:val="1DC83583"/>
    <w:rsid w:val="1E023F59"/>
    <w:rsid w:val="1E3F77AE"/>
    <w:rsid w:val="1E5659BC"/>
    <w:rsid w:val="1E9B5BD7"/>
    <w:rsid w:val="1EFA79AC"/>
    <w:rsid w:val="1F11781C"/>
    <w:rsid w:val="1F3E5460"/>
    <w:rsid w:val="1F522BD8"/>
    <w:rsid w:val="1F6076A5"/>
    <w:rsid w:val="1FA33D3B"/>
    <w:rsid w:val="1FAA13F8"/>
    <w:rsid w:val="1FE57700"/>
    <w:rsid w:val="203A6CE0"/>
    <w:rsid w:val="206B0D1C"/>
    <w:rsid w:val="20870474"/>
    <w:rsid w:val="209A2897"/>
    <w:rsid w:val="20C80F25"/>
    <w:rsid w:val="21065879"/>
    <w:rsid w:val="21360B50"/>
    <w:rsid w:val="21860080"/>
    <w:rsid w:val="219C45BD"/>
    <w:rsid w:val="21C15355"/>
    <w:rsid w:val="21C71A05"/>
    <w:rsid w:val="21D06F10"/>
    <w:rsid w:val="22095E03"/>
    <w:rsid w:val="22207409"/>
    <w:rsid w:val="22267E48"/>
    <w:rsid w:val="225A3CE5"/>
    <w:rsid w:val="228D5018"/>
    <w:rsid w:val="228E71DB"/>
    <w:rsid w:val="22B70EED"/>
    <w:rsid w:val="22C006CF"/>
    <w:rsid w:val="22CC036E"/>
    <w:rsid w:val="22FB3292"/>
    <w:rsid w:val="230538D8"/>
    <w:rsid w:val="233A3D0B"/>
    <w:rsid w:val="23616564"/>
    <w:rsid w:val="23947310"/>
    <w:rsid w:val="23C75797"/>
    <w:rsid w:val="23E03E96"/>
    <w:rsid w:val="23FB1A20"/>
    <w:rsid w:val="24357F4E"/>
    <w:rsid w:val="24446007"/>
    <w:rsid w:val="24593831"/>
    <w:rsid w:val="2485597A"/>
    <w:rsid w:val="2490178C"/>
    <w:rsid w:val="24C0361C"/>
    <w:rsid w:val="25360B4C"/>
    <w:rsid w:val="254B3008"/>
    <w:rsid w:val="255F1A72"/>
    <w:rsid w:val="257238B7"/>
    <w:rsid w:val="25916F00"/>
    <w:rsid w:val="25924832"/>
    <w:rsid w:val="25937DF9"/>
    <w:rsid w:val="259835E7"/>
    <w:rsid w:val="25C222C2"/>
    <w:rsid w:val="260979D5"/>
    <w:rsid w:val="262303B7"/>
    <w:rsid w:val="263D7446"/>
    <w:rsid w:val="2645157F"/>
    <w:rsid w:val="264755DA"/>
    <w:rsid w:val="269F24C6"/>
    <w:rsid w:val="26A07AB6"/>
    <w:rsid w:val="26A3466F"/>
    <w:rsid w:val="26B07EBC"/>
    <w:rsid w:val="26B9340C"/>
    <w:rsid w:val="2770356A"/>
    <w:rsid w:val="277058F9"/>
    <w:rsid w:val="279F0BB3"/>
    <w:rsid w:val="27A43278"/>
    <w:rsid w:val="27BD7B46"/>
    <w:rsid w:val="27FE6BEF"/>
    <w:rsid w:val="28210363"/>
    <w:rsid w:val="289149D7"/>
    <w:rsid w:val="28933E76"/>
    <w:rsid w:val="28CF57E4"/>
    <w:rsid w:val="28DA045F"/>
    <w:rsid w:val="28EB29C4"/>
    <w:rsid w:val="28F77318"/>
    <w:rsid w:val="292F5C46"/>
    <w:rsid w:val="29B5105B"/>
    <w:rsid w:val="29E94D95"/>
    <w:rsid w:val="29F076EF"/>
    <w:rsid w:val="2A093583"/>
    <w:rsid w:val="2A53737E"/>
    <w:rsid w:val="2ABF773C"/>
    <w:rsid w:val="2AC6400D"/>
    <w:rsid w:val="2AFA68C7"/>
    <w:rsid w:val="2B224FBC"/>
    <w:rsid w:val="2B4F7AC9"/>
    <w:rsid w:val="2B7B0E10"/>
    <w:rsid w:val="2B8208A7"/>
    <w:rsid w:val="2B85118D"/>
    <w:rsid w:val="2C013BC2"/>
    <w:rsid w:val="2C370160"/>
    <w:rsid w:val="2C964530"/>
    <w:rsid w:val="2C9C01CB"/>
    <w:rsid w:val="2CB35ACD"/>
    <w:rsid w:val="2CC969F8"/>
    <w:rsid w:val="2CCF05A3"/>
    <w:rsid w:val="2CF23A48"/>
    <w:rsid w:val="2D1C2E54"/>
    <w:rsid w:val="2D5B045F"/>
    <w:rsid w:val="2DA44EE3"/>
    <w:rsid w:val="2DE433D7"/>
    <w:rsid w:val="2DF6391E"/>
    <w:rsid w:val="2E1135A2"/>
    <w:rsid w:val="2E1C6D22"/>
    <w:rsid w:val="2E643560"/>
    <w:rsid w:val="2E690E6D"/>
    <w:rsid w:val="2E7F3C91"/>
    <w:rsid w:val="2E9108D4"/>
    <w:rsid w:val="2E990412"/>
    <w:rsid w:val="2EAA73EE"/>
    <w:rsid w:val="2ED910E2"/>
    <w:rsid w:val="2EEE2C4A"/>
    <w:rsid w:val="2EFE2954"/>
    <w:rsid w:val="2F255B0B"/>
    <w:rsid w:val="2F3065A3"/>
    <w:rsid w:val="2F97736B"/>
    <w:rsid w:val="2FC80708"/>
    <w:rsid w:val="2FCA17E4"/>
    <w:rsid w:val="300B04FB"/>
    <w:rsid w:val="30410E64"/>
    <w:rsid w:val="306B3C86"/>
    <w:rsid w:val="308A53C8"/>
    <w:rsid w:val="308B6E0F"/>
    <w:rsid w:val="30B967A1"/>
    <w:rsid w:val="30FA42EA"/>
    <w:rsid w:val="3133485C"/>
    <w:rsid w:val="313C759F"/>
    <w:rsid w:val="31637E01"/>
    <w:rsid w:val="31805185"/>
    <w:rsid w:val="31A9480C"/>
    <w:rsid w:val="31F6203D"/>
    <w:rsid w:val="325F3E92"/>
    <w:rsid w:val="329C5C14"/>
    <w:rsid w:val="32CA5B89"/>
    <w:rsid w:val="32EE0A69"/>
    <w:rsid w:val="333913C7"/>
    <w:rsid w:val="33431EC0"/>
    <w:rsid w:val="33924C00"/>
    <w:rsid w:val="33A101CC"/>
    <w:rsid w:val="33B3490D"/>
    <w:rsid w:val="33C51B60"/>
    <w:rsid w:val="33FF585B"/>
    <w:rsid w:val="3408167D"/>
    <w:rsid w:val="34165F34"/>
    <w:rsid w:val="3425561C"/>
    <w:rsid w:val="343D25A4"/>
    <w:rsid w:val="345544EC"/>
    <w:rsid w:val="34C93962"/>
    <w:rsid w:val="35025711"/>
    <w:rsid w:val="35063CC1"/>
    <w:rsid w:val="351932ED"/>
    <w:rsid w:val="35494F1E"/>
    <w:rsid w:val="35650626"/>
    <w:rsid w:val="356D67CB"/>
    <w:rsid w:val="3583549F"/>
    <w:rsid w:val="35870F40"/>
    <w:rsid w:val="358F726C"/>
    <w:rsid w:val="35AD2344"/>
    <w:rsid w:val="35C0641D"/>
    <w:rsid w:val="36012E17"/>
    <w:rsid w:val="360653E7"/>
    <w:rsid w:val="360F134B"/>
    <w:rsid w:val="36353DCE"/>
    <w:rsid w:val="36F10E3C"/>
    <w:rsid w:val="370E0E9A"/>
    <w:rsid w:val="37360748"/>
    <w:rsid w:val="377B0B1B"/>
    <w:rsid w:val="37AE2FB0"/>
    <w:rsid w:val="37D239B1"/>
    <w:rsid w:val="37DE0A9C"/>
    <w:rsid w:val="38097CB9"/>
    <w:rsid w:val="38622589"/>
    <w:rsid w:val="386351AF"/>
    <w:rsid w:val="38BC5A9F"/>
    <w:rsid w:val="39433004"/>
    <w:rsid w:val="397F506B"/>
    <w:rsid w:val="397F6528"/>
    <w:rsid w:val="39831B12"/>
    <w:rsid w:val="39B762BA"/>
    <w:rsid w:val="39D66562"/>
    <w:rsid w:val="3A035D97"/>
    <w:rsid w:val="3A0D4011"/>
    <w:rsid w:val="3A8140F6"/>
    <w:rsid w:val="3A8F6187"/>
    <w:rsid w:val="3AE1534C"/>
    <w:rsid w:val="3AE53218"/>
    <w:rsid w:val="3AF57F2E"/>
    <w:rsid w:val="3B386B35"/>
    <w:rsid w:val="3B4C09D6"/>
    <w:rsid w:val="3B530C19"/>
    <w:rsid w:val="3B882DB9"/>
    <w:rsid w:val="3B9B6F47"/>
    <w:rsid w:val="3BD72A40"/>
    <w:rsid w:val="3BD86954"/>
    <w:rsid w:val="3BEF64E6"/>
    <w:rsid w:val="3C1D0580"/>
    <w:rsid w:val="3C9C6A41"/>
    <w:rsid w:val="3D19024E"/>
    <w:rsid w:val="3D19224B"/>
    <w:rsid w:val="3D347673"/>
    <w:rsid w:val="3D3A52B7"/>
    <w:rsid w:val="3D3F6355"/>
    <w:rsid w:val="3D600F5A"/>
    <w:rsid w:val="3D6333F7"/>
    <w:rsid w:val="3D6F3914"/>
    <w:rsid w:val="3DFD6D94"/>
    <w:rsid w:val="3E0241E4"/>
    <w:rsid w:val="3E2A7B0A"/>
    <w:rsid w:val="3E4137B8"/>
    <w:rsid w:val="3E4B1D51"/>
    <w:rsid w:val="3E572F58"/>
    <w:rsid w:val="3E5F2DE8"/>
    <w:rsid w:val="3E772B2E"/>
    <w:rsid w:val="3EA27632"/>
    <w:rsid w:val="3EC60FE9"/>
    <w:rsid w:val="3F2C5458"/>
    <w:rsid w:val="3F564FDF"/>
    <w:rsid w:val="3F9F6EAD"/>
    <w:rsid w:val="3FD52B9D"/>
    <w:rsid w:val="401C403D"/>
    <w:rsid w:val="402E3944"/>
    <w:rsid w:val="40400207"/>
    <w:rsid w:val="405144E7"/>
    <w:rsid w:val="408D4932"/>
    <w:rsid w:val="41057F25"/>
    <w:rsid w:val="411308B9"/>
    <w:rsid w:val="41195A00"/>
    <w:rsid w:val="41281A42"/>
    <w:rsid w:val="412B3FD2"/>
    <w:rsid w:val="4130047F"/>
    <w:rsid w:val="415F3320"/>
    <w:rsid w:val="41F45B87"/>
    <w:rsid w:val="420B3661"/>
    <w:rsid w:val="42461EC8"/>
    <w:rsid w:val="425E5805"/>
    <w:rsid w:val="429A5E3A"/>
    <w:rsid w:val="42D43DB7"/>
    <w:rsid w:val="42E23F23"/>
    <w:rsid w:val="434635A8"/>
    <w:rsid w:val="43473ADE"/>
    <w:rsid w:val="434B72E3"/>
    <w:rsid w:val="436E4DD2"/>
    <w:rsid w:val="439E597D"/>
    <w:rsid w:val="43A7763D"/>
    <w:rsid w:val="43B73246"/>
    <w:rsid w:val="43D62C25"/>
    <w:rsid w:val="43D81C52"/>
    <w:rsid w:val="442F460D"/>
    <w:rsid w:val="447B78EA"/>
    <w:rsid w:val="44A53493"/>
    <w:rsid w:val="44B97D80"/>
    <w:rsid w:val="44F97EE5"/>
    <w:rsid w:val="44FE35A0"/>
    <w:rsid w:val="456959A4"/>
    <w:rsid w:val="45A81449"/>
    <w:rsid w:val="45BA029B"/>
    <w:rsid w:val="45BD18D9"/>
    <w:rsid w:val="45CB2771"/>
    <w:rsid w:val="45D60869"/>
    <w:rsid w:val="45E91324"/>
    <w:rsid w:val="460B412E"/>
    <w:rsid w:val="46312BF3"/>
    <w:rsid w:val="46341DD8"/>
    <w:rsid w:val="46521A6E"/>
    <w:rsid w:val="4666348D"/>
    <w:rsid w:val="468D6DEC"/>
    <w:rsid w:val="469B0737"/>
    <w:rsid w:val="46A20DF5"/>
    <w:rsid w:val="473D276A"/>
    <w:rsid w:val="47902225"/>
    <w:rsid w:val="47A66064"/>
    <w:rsid w:val="47B7590F"/>
    <w:rsid w:val="47F873B3"/>
    <w:rsid w:val="48044F88"/>
    <w:rsid w:val="48277D76"/>
    <w:rsid w:val="48382ADC"/>
    <w:rsid w:val="486A32F5"/>
    <w:rsid w:val="486F6565"/>
    <w:rsid w:val="48C97EF9"/>
    <w:rsid w:val="48D1534F"/>
    <w:rsid w:val="48DB5895"/>
    <w:rsid w:val="49281D13"/>
    <w:rsid w:val="49465C40"/>
    <w:rsid w:val="49594A8E"/>
    <w:rsid w:val="4984282A"/>
    <w:rsid w:val="49B43ED3"/>
    <w:rsid w:val="49CA196F"/>
    <w:rsid w:val="49D60868"/>
    <w:rsid w:val="4A5932D9"/>
    <w:rsid w:val="4A7A6660"/>
    <w:rsid w:val="4A873113"/>
    <w:rsid w:val="4AB82021"/>
    <w:rsid w:val="4ACB73A2"/>
    <w:rsid w:val="4B147D82"/>
    <w:rsid w:val="4B286ED7"/>
    <w:rsid w:val="4BB86A4E"/>
    <w:rsid w:val="4BDE1A95"/>
    <w:rsid w:val="4BE86813"/>
    <w:rsid w:val="4BEA1743"/>
    <w:rsid w:val="4BFE10E1"/>
    <w:rsid w:val="4C186067"/>
    <w:rsid w:val="4C482355"/>
    <w:rsid w:val="4C666325"/>
    <w:rsid w:val="4D267849"/>
    <w:rsid w:val="4D596868"/>
    <w:rsid w:val="4D654BAF"/>
    <w:rsid w:val="4D813F92"/>
    <w:rsid w:val="4D884172"/>
    <w:rsid w:val="4DAC4CC7"/>
    <w:rsid w:val="4DB52AE7"/>
    <w:rsid w:val="4DD2564E"/>
    <w:rsid w:val="4DE94738"/>
    <w:rsid w:val="4E133D67"/>
    <w:rsid w:val="4E256DC0"/>
    <w:rsid w:val="4E2F562E"/>
    <w:rsid w:val="4E7D19CA"/>
    <w:rsid w:val="4EBE56A0"/>
    <w:rsid w:val="4EC30979"/>
    <w:rsid w:val="4F2B6241"/>
    <w:rsid w:val="4F515D3C"/>
    <w:rsid w:val="4F561C21"/>
    <w:rsid w:val="4F5C0F96"/>
    <w:rsid w:val="4F605626"/>
    <w:rsid w:val="4F775751"/>
    <w:rsid w:val="4F821A1A"/>
    <w:rsid w:val="4F9363C2"/>
    <w:rsid w:val="4FA4146F"/>
    <w:rsid w:val="4FD206CB"/>
    <w:rsid w:val="4FE32790"/>
    <w:rsid w:val="4FFB1C84"/>
    <w:rsid w:val="503B4B9B"/>
    <w:rsid w:val="5069766E"/>
    <w:rsid w:val="508201A4"/>
    <w:rsid w:val="50994226"/>
    <w:rsid w:val="50B2499E"/>
    <w:rsid w:val="50B41C39"/>
    <w:rsid w:val="5110258E"/>
    <w:rsid w:val="51281376"/>
    <w:rsid w:val="51326C93"/>
    <w:rsid w:val="513837AE"/>
    <w:rsid w:val="51456642"/>
    <w:rsid w:val="51512E24"/>
    <w:rsid w:val="51B15DE6"/>
    <w:rsid w:val="51CA0589"/>
    <w:rsid w:val="51F85AB1"/>
    <w:rsid w:val="520609AC"/>
    <w:rsid w:val="5231705B"/>
    <w:rsid w:val="523F01ED"/>
    <w:rsid w:val="5245096C"/>
    <w:rsid w:val="52571024"/>
    <w:rsid w:val="52637631"/>
    <w:rsid w:val="52790A48"/>
    <w:rsid w:val="52887982"/>
    <w:rsid w:val="528E2641"/>
    <w:rsid w:val="52A44AD3"/>
    <w:rsid w:val="52A75E33"/>
    <w:rsid w:val="52AC7BA2"/>
    <w:rsid w:val="52D70199"/>
    <w:rsid w:val="530449C0"/>
    <w:rsid w:val="53082A11"/>
    <w:rsid w:val="530C5763"/>
    <w:rsid w:val="534E012C"/>
    <w:rsid w:val="539030A9"/>
    <w:rsid w:val="539A5647"/>
    <w:rsid w:val="53A22565"/>
    <w:rsid w:val="53CD26DD"/>
    <w:rsid w:val="53D420E8"/>
    <w:rsid w:val="53DC2EBF"/>
    <w:rsid w:val="53E615B4"/>
    <w:rsid w:val="53E83603"/>
    <w:rsid w:val="541B03BF"/>
    <w:rsid w:val="54786471"/>
    <w:rsid w:val="549108D5"/>
    <w:rsid w:val="549F651E"/>
    <w:rsid w:val="54BA7CF8"/>
    <w:rsid w:val="54CF266A"/>
    <w:rsid w:val="54D72B89"/>
    <w:rsid w:val="54F21735"/>
    <w:rsid w:val="55592415"/>
    <w:rsid w:val="567D1774"/>
    <w:rsid w:val="56A97807"/>
    <w:rsid w:val="56AD7433"/>
    <w:rsid w:val="573D0576"/>
    <w:rsid w:val="573E610D"/>
    <w:rsid w:val="57874878"/>
    <w:rsid w:val="57BE3B3D"/>
    <w:rsid w:val="57C70AEE"/>
    <w:rsid w:val="57EC1E8C"/>
    <w:rsid w:val="58144D0D"/>
    <w:rsid w:val="58314746"/>
    <w:rsid w:val="5832234F"/>
    <w:rsid w:val="584E279A"/>
    <w:rsid w:val="58CD0C68"/>
    <w:rsid w:val="58D46876"/>
    <w:rsid w:val="59001493"/>
    <w:rsid w:val="592A00D8"/>
    <w:rsid w:val="59E6248C"/>
    <w:rsid w:val="5A001C6B"/>
    <w:rsid w:val="5A0C6996"/>
    <w:rsid w:val="5A75784C"/>
    <w:rsid w:val="5A810715"/>
    <w:rsid w:val="5AA903B9"/>
    <w:rsid w:val="5AB84EE3"/>
    <w:rsid w:val="5AC97516"/>
    <w:rsid w:val="5AD7016E"/>
    <w:rsid w:val="5AE0730C"/>
    <w:rsid w:val="5B33182B"/>
    <w:rsid w:val="5B6065F6"/>
    <w:rsid w:val="5B6E5656"/>
    <w:rsid w:val="5C342DE6"/>
    <w:rsid w:val="5C5A18F4"/>
    <w:rsid w:val="5C812824"/>
    <w:rsid w:val="5C8B04DC"/>
    <w:rsid w:val="5C8C33AA"/>
    <w:rsid w:val="5C984314"/>
    <w:rsid w:val="5D086DB9"/>
    <w:rsid w:val="5D18603A"/>
    <w:rsid w:val="5D3A376B"/>
    <w:rsid w:val="5D516D62"/>
    <w:rsid w:val="5D911DDA"/>
    <w:rsid w:val="5DA80F17"/>
    <w:rsid w:val="5DAA380C"/>
    <w:rsid w:val="5DD2486A"/>
    <w:rsid w:val="5DD25781"/>
    <w:rsid w:val="5DD86EE0"/>
    <w:rsid w:val="5E16151E"/>
    <w:rsid w:val="5E1D46E5"/>
    <w:rsid w:val="5E316D92"/>
    <w:rsid w:val="5E72647F"/>
    <w:rsid w:val="5E9C76A3"/>
    <w:rsid w:val="5EC468F9"/>
    <w:rsid w:val="5EC60009"/>
    <w:rsid w:val="5EDF3132"/>
    <w:rsid w:val="5F0D026C"/>
    <w:rsid w:val="5F2C17DD"/>
    <w:rsid w:val="5FB00A37"/>
    <w:rsid w:val="5FB35AE4"/>
    <w:rsid w:val="5FCA73E0"/>
    <w:rsid w:val="5FD414EF"/>
    <w:rsid w:val="5FE652B0"/>
    <w:rsid w:val="5FF71A00"/>
    <w:rsid w:val="60046ECF"/>
    <w:rsid w:val="602B553E"/>
    <w:rsid w:val="602E669F"/>
    <w:rsid w:val="603D6EF9"/>
    <w:rsid w:val="6040174E"/>
    <w:rsid w:val="60904D5B"/>
    <w:rsid w:val="60A200EA"/>
    <w:rsid w:val="60A5489F"/>
    <w:rsid w:val="60A911DD"/>
    <w:rsid w:val="60BB1C5E"/>
    <w:rsid w:val="611717DF"/>
    <w:rsid w:val="61343606"/>
    <w:rsid w:val="613D6494"/>
    <w:rsid w:val="61400313"/>
    <w:rsid w:val="61F311A7"/>
    <w:rsid w:val="62007857"/>
    <w:rsid w:val="62280639"/>
    <w:rsid w:val="622F0B40"/>
    <w:rsid w:val="629C5475"/>
    <w:rsid w:val="62DC5BEA"/>
    <w:rsid w:val="62F102F5"/>
    <w:rsid w:val="63051D9A"/>
    <w:rsid w:val="634023E7"/>
    <w:rsid w:val="635F59DA"/>
    <w:rsid w:val="63882801"/>
    <w:rsid w:val="63E568EB"/>
    <w:rsid w:val="63FD0694"/>
    <w:rsid w:val="645359EB"/>
    <w:rsid w:val="64613801"/>
    <w:rsid w:val="649C5F21"/>
    <w:rsid w:val="64D31813"/>
    <w:rsid w:val="64D61D90"/>
    <w:rsid w:val="651200DE"/>
    <w:rsid w:val="651C5D5E"/>
    <w:rsid w:val="65621EDC"/>
    <w:rsid w:val="65AA0734"/>
    <w:rsid w:val="66083742"/>
    <w:rsid w:val="66172310"/>
    <w:rsid w:val="66276BD5"/>
    <w:rsid w:val="6685759E"/>
    <w:rsid w:val="668971B5"/>
    <w:rsid w:val="66C335A0"/>
    <w:rsid w:val="66C60C38"/>
    <w:rsid w:val="66D029D4"/>
    <w:rsid w:val="67065B78"/>
    <w:rsid w:val="6736607A"/>
    <w:rsid w:val="673C3CCE"/>
    <w:rsid w:val="675C52F4"/>
    <w:rsid w:val="67C9069F"/>
    <w:rsid w:val="67CD75A6"/>
    <w:rsid w:val="67FA55A3"/>
    <w:rsid w:val="67FC352D"/>
    <w:rsid w:val="67FD56EF"/>
    <w:rsid w:val="67FE6901"/>
    <w:rsid w:val="689421BF"/>
    <w:rsid w:val="68B41AC1"/>
    <w:rsid w:val="68D11FC5"/>
    <w:rsid w:val="68DB443D"/>
    <w:rsid w:val="68DC79F4"/>
    <w:rsid w:val="68E87291"/>
    <w:rsid w:val="68F74558"/>
    <w:rsid w:val="6907225D"/>
    <w:rsid w:val="691209DD"/>
    <w:rsid w:val="691828A1"/>
    <w:rsid w:val="691C0042"/>
    <w:rsid w:val="691E48EF"/>
    <w:rsid w:val="6923630A"/>
    <w:rsid w:val="697E36F4"/>
    <w:rsid w:val="6984775D"/>
    <w:rsid w:val="69C62A84"/>
    <w:rsid w:val="69CC5BA8"/>
    <w:rsid w:val="69EE682C"/>
    <w:rsid w:val="69F67967"/>
    <w:rsid w:val="69F833B2"/>
    <w:rsid w:val="69FA6BA5"/>
    <w:rsid w:val="6A157814"/>
    <w:rsid w:val="6AD3273D"/>
    <w:rsid w:val="6B081D9C"/>
    <w:rsid w:val="6B196B1E"/>
    <w:rsid w:val="6B1F6A03"/>
    <w:rsid w:val="6B245C1C"/>
    <w:rsid w:val="6B315D80"/>
    <w:rsid w:val="6B3B477B"/>
    <w:rsid w:val="6B426304"/>
    <w:rsid w:val="6B4B244D"/>
    <w:rsid w:val="6B574FDA"/>
    <w:rsid w:val="6B910DD3"/>
    <w:rsid w:val="6BB811AB"/>
    <w:rsid w:val="6BDF643C"/>
    <w:rsid w:val="6C0D3B76"/>
    <w:rsid w:val="6C2964CB"/>
    <w:rsid w:val="6C3E52AD"/>
    <w:rsid w:val="6C427B08"/>
    <w:rsid w:val="6C5B5CB8"/>
    <w:rsid w:val="6C7D3264"/>
    <w:rsid w:val="6CAF15ED"/>
    <w:rsid w:val="6CB269CF"/>
    <w:rsid w:val="6CC60C20"/>
    <w:rsid w:val="6CCA0112"/>
    <w:rsid w:val="6CDB59B0"/>
    <w:rsid w:val="6D1C0459"/>
    <w:rsid w:val="6D745590"/>
    <w:rsid w:val="6D75768D"/>
    <w:rsid w:val="6D8B1115"/>
    <w:rsid w:val="6DA87666"/>
    <w:rsid w:val="6DAA29F7"/>
    <w:rsid w:val="6DC6512A"/>
    <w:rsid w:val="6DDC3422"/>
    <w:rsid w:val="6E074F13"/>
    <w:rsid w:val="6E110C07"/>
    <w:rsid w:val="6E1B4630"/>
    <w:rsid w:val="6E662698"/>
    <w:rsid w:val="6E691813"/>
    <w:rsid w:val="6E933E3E"/>
    <w:rsid w:val="6EB14A9F"/>
    <w:rsid w:val="6ED715BD"/>
    <w:rsid w:val="6EDD4B9F"/>
    <w:rsid w:val="6F1F4A95"/>
    <w:rsid w:val="6F4E5EAA"/>
    <w:rsid w:val="6F7B0C81"/>
    <w:rsid w:val="6FAA79E8"/>
    <w:rsid w:val="6FB27C85"/>
    <w:rsid w:val="6FD544D8"/>
    <w:rsid w:val="6FE86FB7"/>
    <w:rsid w:val="6FE91A27"/>
    <w:rsid w:val="6FF900E0"/>
    <w:rsid w:val="705C4D63"/>
    <w:rsid w:val="709A2E1C"/>
    <w:rsid w:val="70B05FA3"/>
    <w:rsid w:val="70C2375B"/>
    <w:rsid w:val="70C65956"/>
    <w:rsid w:val="70FC6278"/>
    <w:rsid w:val="70FF7369"/>
    <w:rsid w:val="714B6418"/>
    <w:rsid w:val="715B7309"/>
    <w:rsid w:val="716C2528"/>
    <w:rsid w:val="71C97FFE"/>
    <w:rsid w:val="71D03078"/>
    <w:rsid w:val="71D055E0"/>
    <w:rsid w:val="71E722EB"/>
    <w:rsid w:val="72281917"/>
    <w:rsid w:val="72871C9B"/>
    <w:rsid w:val="72932977"/>
    <w:rsid w:val="72B001DF"/>
    <w:rsid w:val="72B9233B"/>
    <w:rsid w:val="72BE3D95"/>
    <w:rsid w:val="72D1433E"/>
    <w:rsid w:val="7301377C"/>
    <w:rsid w:val="73086CE8"/>
    <w:rsid w:val="73131A67"/>
    <w:rsid w:val="73A74BA1"/>
    <w:rsid w:val="73B84376"/>
    <w:rsid w:val="73F82DF8"/>
    <w:rsid w:val="73FA2D7D"/>
    <w:rsid w:val="742B0785"/>
    <w:rsid w:val="74F35746"/>
    <w:rsid w:val="750875AC"/>
    <w:rsid w:val="750F1273"/>
    <w:rsid w:val="75510F25"/>
    <w:rsid w:val="75786AF2"/>
    <w:rsid w:val="75834F63"/>
    <w:rsid w:val="75950CE8"/>
    <w:rsid w:val="759E0B4F"/>
    <w:rsid w:val="75B04F69"/>
    <w:rsid w:val="75FB71EF"/>
    <w:rsid w:val="760F0E96"/>
    <w:rsid w:val="76602546"/>
    <w:rsid w:val="76960CC6"/>
    <w:rsid w:val="76B00412"/>
    <w:rsid w:val="76C304ED"/>
    <w:rsid w:val="7720540D"/>
    <w:rsid w:val="773B447B"/>
    <w:rsid w:val="778013FB"/>
    <w:rsid w:val="779E6F30"/>
    <w:rsid w:val="77D5768F"/>
    <w:rsid w:val="77E82ADF"/>
    <w:rsid w:val="78304864"/>
    <w:rsid w:val="78870DA0"/>
    <w:rsid w:val="78C515DF"/>
    <w:rsid w:val="78FF3DB8"/>
    <w:rsid w:val="791C01C3"/>
    <w:rsid w:val="79363993"/>
    <w:rsid w:val="79391589"/>
    <w:rsid w:val="794E2DCF"/>
    <w:rsid w:val="79546E13"/>
    <w:rsid w:val="79667E4E"/>
    <w:rsid w:val="7967015F"/>
    <w:rsid w:val="797851C2"/>
    <w:rsid w:val="799E45C2"/>
    <w:rsid w:val="79BE740D"/>
    <w:rsid w:val="79DA1477"/>
    <w:rsid w:val="79DC21BE"/>
    <w:rsid w:val="79FF0EAD"/>
    <w:rsid w:val="7A1B61D8"/>
    <w:rsid w:val="7A2A7E25"/>
    <w:rsid w:val="7A427BA1"/>
    <w:rsid w:val="7A455404"/>
    <w:rsid w:val="7A477299"/>
    <w:rsid w:val="7A7026C2"/>
    <w:rsid w:val="7A784A40"/>
    <w:rsid w:val="7A845761"/>
    <w:rsid w:val="7A910A0F"/>
    <w:rsid w:val="7ADE7B62"/>
    <w:rsid w:val="7B892FEF"/>
    <w:rsid w:val="7BEF6963"/>
    <w:rsid w:val="7BFE1E1C"/>
    <w:rsid w:val="7C153320"/>
    <w:rsid w:val="7C1742A4"/>
    <w:rsid w:val="7C213007"/>
    <w:rsid w:val="7C365230"/>
    <w:rsid w:val="7C4046DF"/>
    <w:rsid w:val="7C4F7E59"/>
    <w:rsid w:val="7C5C0287"/>
    <w:rsid w:val="7C5E548C"/>
    <w:rsid w:val="7CAF004B"/>
    <w:rsid w:val="7CEB44D5"/>
    <w:rsid w:val="7D0645A7"/>
    <w:rsid w:val="7D1108C2"/>
    <w:rsid w:val="7D265C12"/>
    <w:rsid w:val="7D8C1AAD"/>
    <w:rsid w:val="7D9215FE"/>
    <w:rsid w:val="7DB02C4F"/>
    <w:rsid w:val="7DB436D9"/>
    <w:rsid w:val="7DD867F1"/>
    <w:rsid w:val="7DF56F77"/>
    <w:rsid w:val="7E3B27A1"/>
    <w:rsid w:val="7E8E2BF4"/>
    <w:rsid w:val="7F155E8B"/>
    <w:rsid w:val="7F4F7DA3"/>
    <w:rsid w:val="7F6A14AC"/>
    <w:rsid w:val="7F80239C"/>
    <w:rsid w:val="7FBC2337"/>
    <w:rsid w:val="7FD913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4">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tabs>
        <w:tab w:val="center" w:pos="4153"/>
        <w:tab w:val="right" w:pos="8306"/>
      </w:tabs>
    </w:pPr>
  </w:style>
  <w:style w:type="paragraph" w:styleId="3">
    <w:name w:val="footer"/>
    <w:basedOn w:val="1"/>
    <w:qFormat/>
    <w:uiPriority w:val="0"/>
    <w:pPr>
      <w:tabs>
        <w:tab w:val="center" w:pos="4153"/>
        <w:tab w:val="right" w:pos="8306"/>
      </w:tabs>
    </w:p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3</TotalTime>
  <ScaleCrop>false</ScaleCrop>
  <LinksUpToDate>false</LinksUpToDate>
  <CharactersWithSpaces>0</CharactersWithSpaces>
  <Application>WPS Office_11.2.0.9327_F1E327BC-269C-435d-A152-05C5408002CA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2025-03-17T15:06:00Z</dcterms:created>
  <dc:creator>A_Basistii</dc:creator>
  <cp:lastModifiedBy>A_Basistii</cp:lastModifiedBy>
  <dcterms:modified xsi:type="dcterms:W3CDTF">2026-02-13T14:01:39Z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1049-11.2.0.9327</vt:lpwstr>
  </property>
  <property fmtid="{D5CDD505-2E9C-101B-9397-08002B2CF9AE}" pid="3" name="ICV">
    <vt:lpwstr>84356472086A42A18AB6109E24B99799_12</vt:lpwstr>
  </property>
</Properties>
</file>