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92045"/>
      <w:bookmarkStart w:id="48" w:name="_Toc449632597"/>
      <w:bookmarkStart w:id="49" w:name="_Toc449630844"/>
      <w:bookmarkStart w:id="50" w:name="_Toc449633089"/>
      <w:bookmarkStart w:id="51" w:name="_Toc392198690"/>
      <w:bookmarkStart w:id="52" w:name="_Toc392254909"/>
      <w:bookmarkStart w:id="53" w:name="_Toc392255170"/>
      <w:bookmarkStart w:id="54" w:name="_Toc39219906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92047"/>
      <w:bookmarkStart w:id="58" w:name="_Toc449630846"/>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C82AC7F">
      <w:pPr>
        <w:jc w:val="right"/>
        <w:rPr>
          <w:lang w:val="it-IT"/>
        </w:rPr>
      </w:pPr>
    </w:p>
    <w:p w14:paraId="4C81D377">
      <w:pPr>
        <w:jc w:val="right"/>
        <w:rPr>
          <w:lang w:val="it-IT"/>
        </w:rPr>
      </w:pPr>
    </w:p>
    <w:p w14:paraId="4F048143">
      <w:pPr>
        <w:jc w:val="right"/>
        <w:rPr>
          <w:lang w:val="it-IT"/>
        </w:rPr>
      </w:pPr>
    </w:p>
    <w:p w14:paraId="4654CA84">
      <w:pPr>
        <w:jc w:val="right"/>
        <w:rPr>
          <w:lang w:val="it-IT"/>
        </w:rPr>
      </w:pPr>
    </w:p>
    <w:p w14:paraId="785167EF">
      <w:pPr>
        <w:jc w:val="right"/>
        <w:rPr>
          <w:lang w:val="it-IT"/>
        </w:rPr>
      </w:pPr>
    </w:p>
    <w:p w14:paraId="022671B7">
      <w:pPr>
        <w:jc w:val="right"/>
        <w:rPr>
          <w:lang w:val="it-IT"/>
        </w:rPr>
      </w:pPr>
    </w:p>
    <w:p w14:paraId="21530864">
      <w:pPr>
        <w:jc w:val="right"/>
        <w:rPr>
          <w:lang w:val="it-IT"/>
        </w:rPr>
      </w:pPr>
    </w:p>
    <w:p w14:paraId="411B76A0">
      <w:pPr>
        <w:jc w:val="right"/>
        <w:rPr>
          <w:lang w:val="it-IT"/>
        </w:rPr>
      </w:pPr>
    </w:p>
    <w:p w14:paraId="7631269A">
      <w:pPr>
        <w:jc w:val="right"/>
        <w:rPr>
          <w:lang w:val="it-IT"/>
        </w:rPr>
      </w:pPr>
    </w:p>
    <w:p w14:paraId="297DDBE2">
      <w:pPr>
        <w:jc w:val="right"/>
        <w:rPr>
          <w:lang w:val="it-IT"/>
        </w:rPr>
      </w:pP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46DF3A22">
      <w:pPr>
        <w:spacing w:before="120"/>
        <w:jc w:val="center"/>
        <w:outlineLvl w:val="0"/>
        <w:rPr>
          <w:rFonts w:hint="default"/>
          <w:sz w:val="20"/>
          <w:szCs w:val="20"/>
          <w:lang w:eastAsia="ru-RU"/>
        </w:rPr>
      </w:pPr>
      <w:bookmarkStart w:id="70" w:name="_Hlk77770922"/>
      <w:r>
        <w:rPr>
          <w:b/>
          <w:sz w:val="28"/>
          <w:szCs w:val="28"/>
          <w:lang w:eastAsia="ru-RU"/>
        </w:rPr>
        <w:t xml:space="preserve">ANUNȚ DE PARTICIPARE </w:t>
      </w:r>
      <w:bookmarkEnd w:id="70"/>
      <w:r>
        <w:rPr>
          <w:b/>
          <w:sz w:val="28"/>
          <w:szCs w:val="28"/>
          <w:lang w:eastAsia="ru-RU"/>
        </w:rPr>
        <w:t xml:space="preserve"> nr.01/202</w:t>
      </w:r>
      <w:r>
        <w:rPr>
          <w:rFonts w:hint="default"/>
          <w:b/>
          <w:sz w:val="28"/>
          <w:szCs w:val="28"/>
          <w:lang w:eastAsia="ru-RU"/>
        </w:rPr>
        <w:t>6</w:t>
      </w:r>
    </w:p>
    <w:p w14:paraId="7CC61412">
      <w:pPr>
        <w:shd w:val="clear" w:color="auto" w:fill="FFFFFF"/>
        <w:spacing w:before="120"/>
        <w:rPr>
          <w:rFonts w:hint="default"/>
          <w:b/>
          <w:lang w:eastAsia="ru-RU"/>
        </w:rPr>
      </w:pPr>
      <w:r>
        <w:rPr>
          <w:b/>
          <w:lang w:val="it-IT" w:eastAsia="ru-RU"/>
        </w:rPr>
        <w:t>privind achiziționarea de: Achiziționarea foilor de odihnă în tabere de odihnă pentru copii și adolescenți în sezonul estival 202</w:t>
      </w:r>
      <w:r>
        <w:rPr>
          <w:rFonts w:hint="default"/>
          <w:b/>
          <w:lang w:eastAsia="ru-RU"/>
        </w:rPr>
        <w:t>6</w:t>
      </w:r>
    </w:p>
    <w:p w14:paraId="55FD020E">
      <w:pPr>
        <w:shd w:val="clear" w:color="auto" w:fill="FFFFFF"/>
        <w:spacing w:before="120"/>
        <w:rPr>
          <w:b/>
          <w:lang w:val="it-IT" w:eastAsia="ru-RU"/>
        </w:rPr>
      </w:pPr>
      <w:r>
        <w:rPr>
          <w:b/>
          <w:lang w:val="it-IT" w:eastAsia="ru-RU"/>
        </w:rPr>
        <w:t>prin procedura de achiziție: Licitație deschisă</w:t>
      </w:r>
    </w:p>
    <w:p w14:paraId="6644B551">
      <w:pPr>
        <w:shd w:val="clear" w:color="auto" w:fill="FFFFFF"/>
        <w:spacing w:before="120"/>
        <w:rPr>
          <w:b/>
          <w:lang w:val="it-IT" w:eastAsia="ru-RU"/>
        </w:rPr>
      </w:pPr>
      <w:r>
        <w:rPr>
          <w:b/>
          <w:lang w:val="it-IT" w:eastAsia="ru-RU"/>
        </w:rPr>
        <w:t>procedura a fost inclusă in planul de achiziții a autorității contactante: da</w:t>
      </w:r>
    </w:p>
    <w:p w14:paraId="74ECC348">
      <w:pPr>
        <w:shd w:val="clear" w:color="auto" w:fill="FFFFFF"/>
        <w:spacing w:before="120"/>
        <w:rPr>
          <w:b/>
          <w:lang w:val="it-IT" w:eastAsia="ru-RU"/>
        </w:rPr>
      </w:pPr>
      <w:r>
        <w:rPr>
          <w:b/>
          <w:lang w:val="it-IT" w:eastAsia="ru-RU"/>
        </w:rPr>
        <w:t>lincul către planul de achiziții publice</w:t>
      </w:r>
    </w:p>
    <w:p w14:paraId="3A0C9FB6">
      <w:pPr>
        <w:shd w:val="clear" w:color="auto" w:fill="FFFFFF"/>
        <w:spacing w:before="120"/>
        <w:rPr>
          <w:b/>
          <w:sz w:val="32"/>
          <w:szCs w:val="32"/>
          <w:lang w:eastAsia="ru-RU"/>
        </w:rPr>
      </w:pPr>
    </w:p>
    <w:p w14:paraId="1157DB04">
      <w:pPr>
        <w:shd w:val="clear" w:color="auto" w:fill="FFFFFF"/>
        <w:rPr>
          <w:sz w:val="20"/>
          <w:szCs w:val="20"/>
          <w:lang w:eastAsia="ru-RU"/>
        </w:rPr>
      </w:pPr>
    </w:p>
    <w:p w14:paraId="7279F062">
      <w:pPr>
        <w:numPr>
          <w:ilvl w:val="0"/>
          <w:numId w:val="10"/>
        </w:numPr>
        <w:shd w:val="clear" w:color="auto" w:fill="FFFFFF"/>
        <w:tabs>
          <w:tab w:val="left" w:pos="284"/>
          <w:tab w:val="right" w:pos="9531"/>
        </w:tabs>
        <w:spacing w:before="120"/>
        <w:ind w:left="284" w:hanging="284"/>
        <w:rPr>
          <w:b/>
          <w:lang w:eastAsia="ru-RU"/>
        </w:rPr>
      </w:pPr>
      <w:r>
        <w:rPr>
          <w:b/>
          <w:lang w:eastAsia="ru-RU"/>
        </w:rPr>
        <w:t>Denumirea autorității contractante Direcția Educație Dubăsari</w:t>
      </w:r>
    </w:p>
    <w:p w14:paraId="4B07C7D4">
      <w:pPr>
        <w:numPr>
          <w:ilvl w:val="0"/>
          <w:numId w:val="10"/>
        </w:numPr>
        <w:shd w:val="clear" w:color="auto" w:fill="FFFFFF"/>
        <w:tabs>
          <w:tab w:val="left" w:pos="284"/>
          <w:tab w:val="right" w:pos="9531"/>
        </w:tabs>
        <w:spacing w:before="120"/>
        <w:ind w:left="284" w:hanging="284"/>
        <w:rPr>
          <w:b/>
          <w:lang w:eastAsia="ru-RU"/>
        </w:rPr>
      </w:pPr>
      <w:r>
        <w:rPr>
          <w:b/>
          <w:lang w:eastAsia="ru-RU"/>
        </w:rPr>
        <w:t>IDNO:</w:t>
      </w:r>
      <w:r>
        <w:rPr>
          <w:b/>
          <w:shd w:val="clear" w:color="auto" w:fill="FFFFFF"/>
          <w:lang w:eastAsia="ru-RU"/>
        </w:rPr>
        <w:t xml:space="preserve"> 1024601000161</w:t>
      </w:r>
    </w:p>
    <w:p w14:paraId="0489DCF9">
      <w:pPr>
        <w:numPr>
          <w:ilvl w:val="0"/>
          <w:numId w:val="10"/>
        </w:numPr>
        <w:shd w:val="clear" w:color="auto" w:fill="FFFFFF"/>
        <w:tabs>
          <w:tab w:val="left" w:pos="284"/>
          <w:tab w:val="right" w:pos="9531"/>
        </w:tabs>
        <w:spacing w:before="120"/>
        <w:ind w:left="284" w:hanging="284"/>
        <w:rPr>
          <w:b/>
          <w:lang w:eastAsia="ru-RU"/>
        </w:rPr>
      </w:pPr>
      <w:r>
        <w:rPr>
          <w:b/>
          <w:lang w:eastAsia="ru-RU"/>
        </w:rPr>
        <w:t>Adresa</w:t>
      </w:r>
      <w:r>
        <w:rPr>
          <w:b/>
          <w:shd w:val="clear" w:color="auto" w:fill="FFFFFF"/>
          <w:lang w:eastAsia="ru-RU"/>
        </w:rPr>
        <w:t>: s. Coșnița raionul Dubasari str. Pacii 70</w:t>
      </w:r>
    </w:p>
    <w:p w14:paraId="37EEDE7A">
      <w:pPr>
        <w:numPr>
          <w:ilvl w:val="0"/>
          <w:numId w:val="10"/>
        </w:numPr>
        <w:shd w:val="clear" w:color="auto" w:fill="FFFFFF"/>
        <w:tabs>
          <w:tab w:val="left" w:pos="284"/>
          <w:tab w:val="right" w:pos="9531"/>
        </w:tabs>
        <w:spacing w:before="120"/>
        <w:ind w:left="284" w:hanging="284"/>
        <w:rPr>
          <w:b/>
          <w:lang w:eastAsia="ru-RU"/>
        </w:rPr>
      </w:pPr>
      <w:r>
        <w:rPr>
          <w:b/>
          <w:lang w:eastAsia="ru-RU"/>
        </w:rPr>
        <w:t xml:space="preserve">Numărul de telefon/fax: </w:t>
      </w:r>
      <w:r>
        <w:rPr>
          <w:b/>
          <w:shd w:val="clear" w:color="auto" w:fill="FFFFFF"/>
          <w:lang w:eastAsia="ru-RU"/>
        </w:rPr>
        <w:t xml:space="preserve"> 0 284 43 447 0 248 44 437</w:t>
      </w:r>
    </w:p>
    <w:p w14:paraId="61D9B3A1">
      <w:pPr>
        <w:numPr>
          <w:ilvl w:val="0"/>
          <w:numId w:val="10"/>
        </w:numPr>
        <w:shd w:val="clear" w:color="auto" w:fill="FFFFFF"/>
        <w:tabs>
          <w:tab w:val="left" w:pos="284"/>
          <w:tab w:val="right" w:pos="9531"/>
        </w:tabs>
        <w:spacing w:before="120"/>
        <w:ind w:left="284" w:hanging="284"/>
        <w:rPr>
          <w:b/>
          <w:lang w:eastAsia="ru-RU"/>
        </w:rPr>
      </w:pPr>
      <w:r>
        <w:rPr>
          <w:b/>
          <w:lang w:eastAsia="ru-RU"/>
        </w:rPr>
        <w:t xml:space="preserve">Adresa de e-mail și pagina web oficială ale autorității contractante: </w:t>
      </w:r>
    </w:p>
    <w:p w14:paraId="77CD0200">
      <w:pPr>
        <w:numPr>
          <w:ilvl w:val="0"/>
          <w:numId w:val="10"/>
        </w:numPr>
        <w:shd w:val="clear" w:color="auto" w:fill="FFFFFF"/>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 pe platforma MTender.md</w:t>
      </w:r>
    </w:p>
    <w:p w14:paraId="0ED2A407">
      <w:pPr>
        <w:numPr>
          <w:ilvl w:val="0"/>
          <w:numId w:val="10"/>
        </w:numPr>
        <w:shd w:val="clear" w:color="auto" w:fill="FFFFFF"/>
        <w:tabs>
          <w:tab w:val="left" w:pos="284"/>
          <w:tab w:val="right" w:pos="9531"/>
        </w:tabs>
        <w:spacing w:before="120"/>
        <w:ind w:left="284" w:hanging="284"/>
        <w:jc w:val="both"/>
        <w:rPr>
          <w:b/>
          <w:lang w:val="it-IT" w:eastAsia="ru-RU"/>
        </w:rPr>
      </w:pPr>
      <w:r>
        <w:rPr>
          <w:b/>
          <w:lang w:eastAsia="ru-RU"/>
        </w:rPr>
        <w:t>Tipul autorității contractante și obiectul principal de activitate (dacă este cazul, mențiunea că autoritatea contractantă este o autoritate centrală</w:t>
      </w:r>
      <w:r>
        <w:rPr>
          <w:b/>
          <w:lang w:val="it-IT" w:eastAsia="ru-RU"/>
        </w:rPr>
        <w:t xml:space="preserve"> de achiziție sau că achiziția implică o altă formă de achiziție comună):Autoritate publică de nivelul II</w:t>
      </w:r>
    </w:p>
    <w:p w14:paraId="41EB54EB">
      <w:pPr>
        <w:numPr>
          <w:ilvl w:val="0"/>
          <w:numId w:val="10"/>
        </w:numPr>
        <w:shd w:val="clear" w:color="auto" w:fill="FFFFFF"/>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Servicii/servicii:</w:t>
      </w:r>
    </w:p>
    <w:tbl>
      <w:tblPr>
        <w:tblStyle w:val="11"/>
        <w:tblW w:w="10080" w:type="dxa"/>
        <w:tblInd w:w="-455" w:type="dxa"/>
        <w:tblLayout w:type="fixed"/>
        <w:tblCellMar>
          <w:top w:w="0" w:type="dxa"/>
          <w:left w:w="108" w:type="dxa"/>
          <w:bottom w:w="0" w:type="dxa"/>
          <w:right w:w="108" w:type="dxa"/>
        </w:tblCellMar>
      </w:tblPr>
      <w:tblGrid>
        <w:gridCol w:w="537"/>
        <w:gridCol w:w="1189"/>
        <w:gridCol w:w="2410"/>
        <w:gridCol w:w="811"/>
        <w:gridCol w:w="1171"/>
        <w:gridCol w:w="1981"/>
        <w:gridCol w:w="1981"/>
      </w:tblGrid>
      <w:tr w14:paraId="1DB345F1">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7C2593EF">
            <w:pPr>
              <w:shd w:val="clear" w:color="auto" w:fill="FFFFFF"/>
              <w:spacing w:before="120" w:line="256" w:lineRule="auto"/>
              <w:jc w:val="center"/>
              <w:rPr>
                <w:b/>
                <w:sz w:val="20"/>
                <w:szCs w:val="20"/>
                <w:lang w:eastAsia="ru-RU"/>
              </w:rPr>
            </w:pPr>
            <w:r>
              <w:rPr>
                <w:b/>
                <w:sz w:val="20"/>
                <w:szCs w:val="20"/>
                <w:lang w:eastAsia="ru-RU"/>
              </w:rPr>
              <w:t>Nr. d/o</w:t>
            </w:r>
          </w:p>
        </w:tc>
        <w:tc>
          <w:tcPr>
            <w:tcW w:w="1189" w:type="dxa"/>
            <w:tcBorders>
              <w:top w:val="single" w:color="auto" w:sz="4" w:space="0"/>
              <w:left w:val="single" w:color="auto" w:sz="4" w:space="0"/>
              <w:bottom w:val="single" w:color="auto" w:sz="4" w:space="0"/>
              <w:right w:val="single" w:color="auto" w:sz="4" w:space="0"/>
            </w:tcBorders>
            <w:vAlign w:val="center"/>
          </w:tcPr>
          <w:p w14:paraId="48A92C7D">
            <w:pPr>
              <w:shd w:val="clear" w:color="auto" w:fill="FFFFFF"/>
              <w:spacing w:before="120" w:line="256" w:lineRule="auto"/>
              <w:jc w:val="center"/>
              <w:rPr>
                <w:b/>
                <w:sz w:val="20"/>
                <w:szCs w:val="20"/>
                <w:lang w:eastAsia="ru-RU"/>
              </w:rPr>
            </w:pPr>
            <w:r>
              <w:rPr>
                <w:b/>
                <w:sz w:val="20"/>
                <w:szCs w:val="20"/>
                <w:lang w:eastAsia="ru-RU"/>
              </w:rPr>
              <w:t>Cod CPV</w:t>
            </w:r>
          </w:p>
        </w:tc>
        <w:tc>
          <w:tcPr>
            <w:tcW w:w="2410" w:type="dxa"/>
            <w:tcBorders>
              <w:top w:val="single" w:color="auto" w:sz="4" w:space="0"/>
              <w:left w:val="single" w:color="auto" w:sz="4" w:space="0"/>
              <w:bottom w:val="single" w:color="auto" w:sz="4" w:space="0"/>
              <w:right w:val="single" w:color="auto" w:sz="4" w:space="0"/>
            </w:tcBorders>
            <w:vAlign w:val="center"/>
          </w:tcPr>
          <w:p w14:paraId="1D1C8A35">
            <w:pPr>
              <w:shd w:val="clear" w:color="auto" w:fill="FFFFFF"/>
              <w:spacing w:before="120" w:line="256" w:lineRule="auto"/>
              <w:jc w:val="center"/>
              <w:rPr>
                <w:b/>
                <w:sz w:val="20"/>
                <w:szCs w:val="20"/>
                <w:lang w:eastAsia="ru-RU"/>
              </w:rPr>
            </w:pPr>
            <w:r>
              <w:rPr>
                <w:b/>
                <w:sz w:val="20"/>
                <w:szCs w:val="20"/>
                <w:lang w:eastAsia="ru-RU"/>
              </w:rPr>
              <w:t>Denumirea Serviciilor/ serviciilor</w:t>
            </w:r>
          </w:p>
        </w:tc>
        <w:tc>
          <w:tcPr>
            <w:tcW w:w="811" w:type="dxa"/>
            <w:tcBorders>
              <w:top w:val="single" w:color="auto" w:sz="4" w:space="0"/>
              <w:left w:val="single" w:color="auto" w:sz="4" w:space="0"/>
              <w:bottom w:val="single" w:color="auto" w:sz="4" w:space="0"/>
              <w:right w:val="single" w:color="auto" w:sz="4" w:space="0"/>
            </w:tcBorders>
            <w:vAlign w:val="center"/>
          </w:tcPr>
          <w:p w14:paraId="6AEEE214">
            <w:pPr>
              <w:shd w:val="clear" w:color="auto" w:fill="FFFFFF"/>
              <w:spacing w:before="120" w:line="256" w:lineRule="auto"/>
              <w:jc w:val="center"/>
              <w:rPr>
                <w:b/>
                <w:sz w:val="20"/>
                <w:szCs w:val="20"/>
                <w:lang w:eastAsia="ru-RU"/>
              </w:rPr>
            </w:pPr>
            <w:r>
              <w:rPr>
                <w:b/>
                <w:sz w:val="20"/>
                <w:szCs w:val="20"/>
                <w:lang w:eastAsia="ru-RU"/>
              </w:rPr>
              <w:t>Unitateade măsură</w:t>
            </w:r>
          </w:p>
        </w:tc>
        <w:tc>
          <w:tcPr>
            <w:tcW w:w="1171" w:type="dxa"/>
            <w:tcBorders>
              <w:top w:val="single" w:color="auto" w:sz="4" w:space="0"/>
              <w:left w:val="single" w:color="auto" w:sz="4" w:space="0"/>
              <w:bottom w:val="single" w:color="auto" w:sz="4" w:space="0"/>
              <w:right w:val="single" w:color="auto" w:sz="4" w:space="0"/>
            </w:tcBorders>
            <w:vAlign w:val="center"/>
          </w:tcPr>
          <w:p w14:paraId="6963F666">
            <w:pPr>
              <w:shd w:val="clear" w:color="auto" w:fill="FFFFFF"/>
              <w:spacing w:before="120" w:line="256" w:lineRule="auto"/>
              <w:jc w:val="center"/>
              <w:rPr>
                <w:b/>
                <w:sz w:val="20"/>
                <w:szCs w:val="20"/>
                <w:lang w:eastAsia="ru-RU"/>
              </w:rPr>
            </w:pPr>
            <w:r>
              <w:rPr>
                <w:b/>
                <w:sz w:val="20"/>
                <w:szCs w:val="20"/>
                <w:lang w:eastAsia="ru-RU"/>
              </w:rPr>
              <w:t>Cantitatea</w:t>
            </w:r>
          </w:p>
        </w:tc>
        <w:tc>
          <w:tcPr>
            <w:tcW w:w="1981" w:type="dxa"/>
            <w:tcBorders>
              <w:top w:val="single" w:color="auto" w:sz="4" w:space="0"/>
              <w:left w:val="single" w:color="auto" w:sz="4" w:space="0"/>
              <w:bottom w:val="single" w:color="auto" w:sz="4" w:space="0"/>
              <w:right w:val="single" w:color="auto" w:sz="4" w:space="0"/>
            </w:tcBorders>
            <w:vAlign w:val="center"/>
          </w:tcPr>
          <w:p w14:paraId="3AF09EDE">
            <w:pPr>
              <w:shd w:val="clear" w:color="auto" w:fill="FFFFFF"/>
              <w:spacing w:before="120" w:line="256" w:lineRule="auto"/>
              <w:jc w:val="center"/>
              <w:rPr>
                <w:b/>
                <w:sz w:val="20"/>
                <w:szCs w:val="20"/>
                <w:lang w:eastAsia="ru-RU"/>
              </w:rPr>
            </w:pPr>
            <w:r>
              <w:rPr>
                <w:b/>
                <w:sz w:val="20"/>
                <w:szCs w:val="20"/>
                <w:lang w:eastAsia="ru-RU"/>
              </w:rPr>
              <w:t>Specificarea tehnică deplină solicitată, Standarde de referință</w:t>
            </w:r>
          </w:p>
        </w:tc>
        <w:tc>
          <w:tcPr>
            <w:tcW w:w="1981" w:type="dxa"/>
            <w:tcBorders>
              <w:top w:val="single" w:color="auto" w:sz="4" w:space="0"/>
              <w:left w:val="single" w:color="auto" w:sz="4" w:space="0"/>
              <w:bottom w:val="single" w:color="auto" w:sz="4" w:space="0"/>
              <w:right w:val="single" w:color="auto" w:sz="4" w:space="0"/>
            </w:tcBorders>
          </w:tcPr>
          <w:p w14:paraId="3C0B6F22">
            <w:pPr>
              <w:shd w:val="clear" w:color="auto" w:fill="FFFFFF"/>
              <w:spacing w:before="120" w:line="256" w:lineRule="auto"/>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4B8DF22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018EF92F">
            <w:pPr>
              <w:shd w:val="clear" w:color="auto" w:fill="FFFFFF"/>
              <w:spacing w:before="120" w:line="256" w:lineRule="auto"/>
              <w:jc w:val="center"/>
              <w:rPr>
                <w:sz w:val="20"/>
                <w:szCs w:val="20"/>
                <w:lang w:eastAsia="ru-RU"/>
              </w:rPr>
            </w:pPr>
            <w:r>
              <w:rPr>
                <w:sz w:val="20"/>
                <w:szCs w:val="20"/>
                <w:lang w:eastAsia="ru-RU"/>
              </w:rPr>
              <w:t>1.</w:t>
            </w:r>
          </w:p>
        </w:tc>
        <w:tc>
          <w:tcPr>
            <w:tcW w:w="1189" w:type="dxa"/>
            <w:tcBorders>
              <w:top w:val="single" w:color="auto" w:sz="4" w:space="0"/>
              <w:left w:val="single" w:color="auto" w:sz="4" w:space="0"/>
              <w:bottom w:val="single" w:color="auto" w:sz="4" w:space="0"/>
              <w:right w:val="single" w:color="auto" w:sz="4" w:space="0"/>
            </w:tcBorders>
            <w:vAlign w:val="center"/>
          </w:tcPr>
          <w:p w14:paraId="64FA3040">
            <w:pPr>
              <w:shd w:val="clear" w:color="auto" w:fill="FFFFFF"/>
              <w:spacing w:before="120" w:line="256" w:lineRule="auto"/>
              <w:jc w:val="center"/>
              <w:rPr>
                <w:sz w:val="20"/>
                <w:szCs w:val="20"/>
                <w:lang w:eastAsia="ru-RU"/>
              </w:rPr>
            </w:pPr>
            <w:r>
              <w:rPr>
                <w:sz w:val="20"/>
                <w:szCs w:val="20"/>
                <w:lang w:eastAsia="ru-RU"/>
              </w:rPr>
              <w:t>55200000-2</w:t>
            </w:r>
          </w:p>
        </w:tc>
        <w:tc>
          <w:tcPr>
            <w:tcW w:w="2410" w:type="dxa"/>
            <w:tcBorders>
              <w:top w:val="single" w:color="auto" w:sz="4" w:space="0"/>
              <w:left w:val="single" w:color="auto" w:sz="4" w:space="0"/>
              <w:bottom w:val="single" w:color="auto" w:sz="4" w:space="0"/>
              <w:right w:val="single" w:color="auto" w:sz="4" w:space="0"/>
            </w:tcBorders>
            <w:vAlign w:val="center"/>
          </w:tcPr>
          <w:p w14:paraId="6D19FF95">
            <w:pPr>
              <w:shd w:val="clear" w:color="auto" w:fill="FFFFFF"/>
              <w:spacing w:before="120" w:line="256" w:lineRule="auto"/>
              <w:rPr>
                <w:sz w:val="20"/>
                <w:szCs w:val="20"/>
                <w:lang w:eastAsia="ru-RU"/>
              </w:rPr>
            </w:pPr>
            <w:r>
              <w:rPr>
                <w:sz w:val="20"/>
                <w:szCs w:val="20"/>
                <w:lang w:eastAsia="ru-RU"/>
              </w:rPr>
              <w:t>Lotul 1. Achziționarea foilor de odihnă in tabere de odihnă pentru copii și adolescenți în sezonul estival 202</w:t>
            </w:r>
            <w:r>
              <w:rPr>
                <w:rFonts w:hint="default"/>
                <w:sz w:val="20"/>
                <w:szCs w:val="20"/>
                <w:lang w:val="en-US" w:eastAsia="ru-RU"/>
              </w:rPr>
              <w:t>6</w:t>
            </w:r>
          </w:p>
        </w:tc>
        <w:tc>
          <w:tcPr>
            <w:tcW w:w="811" w:type="dxa"/>
            <w:tcBorders>
              <w:top w:val="single" w:color="auto" w:sz="4" w:space="0"/>
              <w:left w:val="single" w:color="auto" w:sz="4" w:space="0"/>
              <w:bottom w:val="single" w:color="auto" w:sz="4" w:space="0"/>
              <w:right w:val="single" w:color="auto" w:sz="4" w:space="0"/>
            </w:tcBorders>
            <w:vAlign w:val="center"/>
          </w:tcPr>
          <w:p w14:paraId="196EF7DC">
            <w:pPr>
              <w:shd w:val="clear" w:color="auto" w:fill="FFFFFF"/>
              <w:spacing w:before="120" w:line="256" w:lineRule="auto"/>
              <w:jc w:val="center"/>
              <w:rPr>
                <w:sz w:val="20"/>
                <w:szCs w:val="20"/>
                <w:lang w:eastAsia="ru-RU"/>
              </w:rPr>
            </w:pPr>
            <w:r>
              <w:rPr>
                <w:sz w:val="20"/>
                <w:szCs w:val="20"/>
                <w:lang w:eastAsia="ru-RU"/>
              </w:rPr>
              <w:t>Buc.</w:t>
            </w:r>
          </w:p>
        </w:tc>
        <w:tc>
          <w:tcPr>
            <w:tcW w:w="1171" w:type="dxa"/>
            <w:tcBorders>
              <w:top w:val="single" w:color="auto" w:sz="4" w:space="0"/>
              <w:left w:val="single" w:color="auto" w:sz="4" w:space="0"/>
              <w:bottom w:val="single" w:color="auto" w:sz="4" w:space="0"/>
              <w:right w:val="single" w:color="auto" w:sz="4" w:space="0"/>
            </w:tcBorders>
            <w:vAlign w:val="center"/>
          </w:tcPr>
          <w:p w14:paraId="79EAAAE8">
            <w:pPr>
              <w:shd w:val="clear" w:color="auto" w:fill="FFFFFF"/>
              <w:spacing w:before="120" w:line="256" w:lineRule="auto"/>
              <w:jc w:val="center"/>
              <w:rPr>
                <w:rFonts w:hint="default"/>
                <w:sz w:val="20"/>
                <w:szCs w:val="20"/>
                <w:lang w:val="en-US" w:eastAsia="ru-RU"/>
              </w:rPr>
            </w:pPr>
            <w:r>
              <w:rPr>
                <w:sz w:val="20"/>
                <w:szCs w:val="20"/>
                <w:lang w:eastAsia="ru-RU"/>
              </w:rPr>
              <w:t>2</w:t>
            </w:r>
            <w:r>
              <w:rPr>
                <w:rFonts w:hint="default"/>
                <w:sz w:val="20"/>
                <w:szCs w:val="20"/>
                <w:lang w:val="en-US" w:eastAsia="ru-RU"/>
              </w:rPr>
              <w:t>00</w:t>
            </w:r>
          </w:p>
          <w:p w14:paraId="512768CB">
            <w:pPr>
              <w:shd w:val="clear" w:color="auto" w:fill="FFFFFF"/>
              <w:spacing w:before="120" w:line="256" w:lineRule="auto"/>
              <w:jc w:val="center"/>
              <w:rPr>
                <w:sz w:val="20"/>
                <w:szCs w:val="20"/>
                <w:lang w:eastAsia="ru-RU"/>
              </w:rPr>
            </w:pPr>
            <w:r>
              <w:rPr>
                <w:sz w:val="20"/>
                <w:szCs w:val="20"/>
                <w:lang w:eastAsia="ru-RU"/>
              </w:rPr>
              <w:t>Cantitatea poate varia in dependenta de ofertele depuse de ofertanti</w:t>
            </w:r>
          </w:p>
        </w:tc>
        <w:tc>
          <w:tcPr>
            <w:tcW w:w="1981" w:type="dxa"/>
            <w:tcBorders>
              <w:top w:val="single" w:color="auto" w:sz="4" w:space="0"/>
              <w:left w:val="single" w:color="auto" w:sz="4" w:space="0"/>
              <w:bottom w:val="single" w:color="auto" w:sz="4" w:space="0"/>
              <w:right w:val="single" w:color="auto" w:sz="4" w:space="0"/>
            </w:tcBorders>
            <w:vAlign w:val="center"/>
          </w:tcPr>
          <w:p w14:paraId="6FEC2496">
            <w:pPr>
              <w:shd w:val="clear" w:color="auto" w:fill="FFFFFF"/>
              <w:spacing w:before="120" w:line="256" w:lineRule="auto"/>
              <w:jc w:val="center"/>
              <w:rPr>
                <w:sz w:val="20"/>
                <w:szCs w:val="20"/>
                <w:lang w:eastAsia="ru-RU"/>
              </w:rPr>
            </w:pPr>
            <w:r>
              <w:rPr>
                <w:sz w:val="20"/>
                <w:szCs w:val="20"/>
                <w:lang w:eastAsia="ru-RU"/>
              </w:rPr>
              <w:t>Serviciile vor fi prestate conform cerințelor expuse în  Caetul de sarcini Anexa nr.21 cu respectarea legislației în vigoare</w:t>
            </w:r>
          </w:p>
        </w:tc>
        <w:tc>
          <w:tcPr>
            <w:tcW w:w="1981" w:type="dxa"/>
            <w:tcBorders>
              <w:top w:val="single" w:color="auto" w:sz="4" w:space="0"/>
              <w:left w:val="single" w:color="auto" w:sz="4" w:space="0"/>
              <w:bottom w:val="single" w:color="auto" w:sz="4" w:space="0"/>
              <w:right w:val="single" w:color="auto" w:sz="4" w:space="0"/>
            </w:tcBorders>
          </w:tcPr>
          <w:p w14:paraId="51447D76">
            <w:pPr>
              <w:shd w:val="clear" w:color="auto" w:fill="FFFFFF"/>
              <w:spacing w:before="120" w:line="256" w:lineRule="auto"/>
              <w:jc w:val="center"/>
              <w:rPr>
                <w:sz w:val="20"/>
                <w:szCs w:val="20"/>
                <w:lang w:eastAsia="ru-RU"/>
              </w:rPr>
            </w:pPr>
            <w:r>
              <w:rPr>
                <w:sz w:val="20"/>
                <w:szCs w:val="20"/>
                <w:lang w:eastAsia="ru-RU"/>
              </w:rPr>
              <w:t>716400.00</w:t>
            </w:r>
          </w:p>
        </w:tc>
      </w:tr>
      <w:tr w14:paraId="7CC13D59">
        <w:tblPrEx>
          <w:tblCellMar>
            <w:top w:w="0" w:type="dxa"/>
            <w:left w:w="108" w:type="dxa"/>
            <w:bottom w:w="0" w:type="dxa"/>
            <w:right w:w="108" w:type="dxa"/>
          </w:tblCellMar>
        </w:tblPrEx>
        <w:trPr>
          <w:trHeight w:val="397" w:hRule="atLeast"/>
        </w:trPr>
        <w:tc>
          <w:tcPr>
            <w:tcW w:w="8099" w:type="dxa"/>
            <w:gridSpan w:val="6"/>
            <w:tcBorders>
              <w:top w:val="single" w:color="auto" w:sz="4" w:space="0"/>
              <w:left w:val="single" w:color="auto" w:sz="4" w:space="0"/>
              <w:bottom w:val="single" w:color="auto" w:sz="4" w:space="0"/>
              <w:right w:val="single" w:color="auto" w:sz="4" w:space="0"/>
            </w:tcBorders>
            <w:vAlign w:val="center"/>
          </w:tcPr>
          <w:p w14:paraId="1F8FBDA7">
            <w:pPr>
              <w:shd w:val="clear" w:color="auto" w:fill="FFFFFF"/>
              <w:spacing w:before="120" w:line="256" w:lineRule="auto"/>
              <w:jc w:val="center"/>
              <w:rPr>
                <w:sz w:val="20"/>
                <w:szCs w:val="20"/>
                <w:lang w:eastAsia="ru-RU"/>
              </w:rPr>
            </w:pPr>
            <w:r>
              <w:rPr>
                <w:b/>
                <w:sz w:val="20"/>
                <w:szCs w:val="20"/>
                <w:lang w:eastAsia="ru-RU"/>
              </w:rPr>
              <w:t>Valoarea estimativă totală a lotului lei MD fara TVA</w:t>
            </w:r>
          </w:p>
        </w:tc>
        <w:tc>
          <w:tcPr>
            <w:tcW w:w="1981" w:type="dxa"/>
            <w:tcBorders>
              <w:top w:val="single" w:color="auto" w:sz="4" w:space="0"/>
              <w:left w:val="single" w:color="auto" w:sz="4" w:space="0"/>
              <w:bottom w:val="single" w:color="auto" w:sz="4" w:space="0"/>
              <w:right w:val="single" w:color="auto" w:sz="4" w:space="0"/>
            </w:tcBorders>
          </w:tcPr>
          <w:p w14:paraId="686B7054">
            <w:pPr>
              <w:shd w:val="clear" w:color="auto" w:fill="FFFFFF"/>
              <w:spacing w:before="120" w:line="256" w:lineRule="auto"/>
              <w:jc w:val="center"/>
              <w:rPr>
                <w:sz w:val="20"/>
                <w:szCs w:val="20"/>
                <w:lang w:eastAsia="ru-RU"/>
              </w:rPr>
            </w:pPr>
            <w:r>
              <w:rPr>
                <w:sz w:val="20"/>
                <w:szCs w:val="20"/>
                <w:lang w:eastAsia="ru-RU"/>
              </w:rPr>
              <w:t>716400,00</w:t>
            </w:r>
          </w:p>
        </w:tc>
      </w:tr>
    </w:tbl>
    <w:p w14:paraId="1C5B82AF">
      <w:pPr>
        <w:shd w:val="clear" w:color="auto" w:fill="FFFFFF"/>
        <w:tabs>
          <w:tab w:val="right" w:pos="426"/>
        </w:tabs>
        <w:spacing w:before="120"/>
        <w:rPr>
          <w:b/>
          <w:lang w:eastAsia="ru-RU"/>
        </w:rPr>
      </w:pPr>
      <w:r>
        <w:rPr>
          <w:b/>
          <w:lang w:eastAsia="ru-RU"/>
        </w:rPr>
        <w:t xml:space="preserve">9.   În cazul procedurilor de preselecție se indică numărul minim al candidaţilor şi, dacă este cazul, numărul maxim al acestora. Nu se aplică   </w:t>
      </w:r>
    </w:p>
    <w:p w14:paraId="7DB13715">
      <w:pPr>
        <w:shd w:val="clear" w:color="auto" w:fill="FFFFFF"/>
        <w:tabs>
          <w:tab w:val="right" w:pos="426"/>
        </w:tabs>
        <w:spacing w:before="120"/>
        <w:rPr>
          <w:b/>
          <w:lang w:eastAsia="ru-RU"/>
        </w:rPr>
      </w:pPr>
      <w:r>
        <w:rPr>
          <w:b/>
          <w:lang w:eastAsia="ru-RU"/>
        </w:rPr>
        <w:t>10. În cazul în care contractul este împărțit pe loturi un operator economic poate depune oferta pentru lot</w:t>
      </w:r>
    </w:p>
    <w:p w14:paraId="129B13B9">
      <w:pPr>
        <w:shd w:val="clear" w:color="auto" w:fill="FFFFFF"/>
        <w:tabs>
          <w:tab w:val="right" w:pos="426"/>
        </w:tabs>
        <w:spacing w:before="120"/>
        <w:rPr>
          <w:b/>
          <w:lang w:eastAsia="ru-RU"/>
        </w:rPr>
      </w:pPr>
      <w:r>
        <w:rPr>
          <w:b/>
          <w:lang w:eastAsia="ru-RU"/>
        </w:rPr>
        <w:t>11. Admiterea sau interzicerea ofertelor alternative: nu se admite</w:t>
      </w:r>
      <w:r>
        <w:rPr>
          <w:sz w:val="20"/>
          <w:lang w:eastAsia="ru-RU"/>
        </w:rPr>
        <w:t xml:space="preserve">                                                                                                              </w:t>
      </w:r>
    </w:p>
    <w:p w14:paraId="625053AE">
      <w:pPr>
        <w:shd w:val="clear" w:color="auto" w:fill="FFFFFF"/>
        <w:tabs>
          <w:tab w:val="left" w:pos="0"/>
          <w:tab w:val="left" w:pos="284"/>
          <w:tab w:val="left" w:pos="426"/>
        </w:tabs>
        <w:spacing w:before="120"/>
        <w:rPr>
          <w:b/>
          <w:lang w:val="it-IT" w:eastAsia="ru-RU"/>
        </w:rPr>
      </w:pPr>
      <w:r>
        <w:rPr>
          <w:b/>
          <w:lang w:eastAsia="ru-RU"/>
        </w:rPr>
        <w:t>12. Termenii și condițiile de livrare/prestare solicitați: sezonul estival</w:t>
      </w:r>
      <w:r>
        <w:rPr>
          <w:b/>
          <w:lang w:val="it-IT" w:eastAsia="ru-RU"/>
        </w:rPr>
        <w:t xml:space="preserve"> iunie-august</w:t>
      </w:r>
    </w:p>
    <w:p w14:paraId="3EA7323F">
      <w:pPr>
        <w:shd w:val="clear" w:color="auto" w:fill="FFFFFF"/>
        <w:tabs>
          <w:tab w:val="left" w:pos="0"/>
          <w:tab w:val="left" w:pos="284"/>
          <w:tab w:val="left" w:pos="426"/>
        </w:tabs>
        <w:spacing w:before="120"/>
        <w:rPr>
          <w:b/>
          <w:lang w:val="it-IT" w:eastAsia="ru-RU"/>
        </w:rPr>
      </w:pPr>
      <w:r>
        <w:rPr>
          <w:b/>
          <w:lang w:val="it-IT" w:eastAsia="ru-RU"/>
        </w:rPr>
        <w:t>13. Termenul de valabilitate a contractului: 31.12.202</w:t>
      </w:r>
      <w:r>
        <w:rPr>
          <w:rFonts w:hint="default"/>
          <w:b/>
          <w:lang w:val="en-US" w:eastAsia="ru-RU"/>
        </w:rPr>
        <w:t>6</w:t>
      </w:r>
    </w:p>
    <w:p w14:paraId="2F3F7447">
      <w:pPr>
        <w:tabs>
          <w:tab w:val="right" w:pos="426"/>
        </w:tabs>
        <w:spacing w:before="120"/>
        <w:rPr>
          <w:sz w:val="20"/>
          <w:lang w:val="en-US" w:eastAsia="ru-RU"/>
        </w:rPr>
      </w:pPr>
      <w:r>
        <w:rPr>
          <w:b/>
          <w:lang w:val="it-IT" w:eastAsia="ru-RU"/>
        </w:rPr>
        <w:t>14. Contract de achiziție rezervat atelierelor protejate sau că acesta poate fi executat numai în cadrul unor programe de angajare protejată (după caz): nu se aplică</w:t>
      </w:r>
    </w:p>
    <w:p w14:paraId="305C9605">
      <w:pPr>
        <w:shd w:val="clear" w:color="auto" w:fill="FFFFFF"/>
        <w:tabs>
          <w:tab w:val="right" w:pos="426"/>
        </w:tabs>
        <w:spacing w:before="120"/>
        <w:rPr>
          <w:sz w:val="20"/>
          <w:lang w:val="en-US" w:eastAsia="ru-RU"/>
        </w:rPr>
      </w:pPr>
      <w:r>
        <w:rPr>
          <w:b/>
          <w:lang w:val="it-IT" w:eastAsia="ru-RU"/>
        </w:rPr>
        <w:t xml:space="preserve">15. Prestarea serviciului este rezervată unei anumite profesii în temeiul unor legi sau al unor acte administrative (după caz): nu se aplică </w:t>
      </w:r>
    </w:p>
    <w:p w14:paraId="6AF40991">
      <w:pPr>
        <w:shd w:val="clear" w:color="auto" w:fill="FFFFFF"/>
        <w:tabs>
          <w:tab w:val="right" w:pos="426"/>
        </w:tabs>
        <w:spacing w:before="120"/>
        <w:jc w:val="both"/>
        <w:rPr>
          <w:b/>
          <w:lang w:val="it-IT" w:eastAsia="ru-RU"/>
        </w:rPr>
      </w:pPr>
      <w:r>
        <w:rPr>
          <w:b/>
          <w:lang w:val="en-US" w:eastAsia="ru-RU"/>
        </w:rPr>
        <w:t xml:space="preserve">16. </w:t>
      </w: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3364"/>
        <w:gridCol w:w="3657"/>
        <w:gridCol w:w="1536"/>
      </w:tblGrid>
      <w:tr w14:paraId="3A6A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6" w:type="dxa"/>
            <w:tcBorders>
              <w:top w:val="single" w:color="auto" w:sz="4" w:space="0"/>
              <w:left w:val="single" w:color="auto" w:sz="4" w:space="0"/>
              <w:bottom w:val="single" w:color="auto" w:sz="4" w:space="0"/>
              <w:right w:val="single" w:color="auto" w:sz="4" w:space="0"/>
            </w:tcBorders>
          </w:tcPr>
          <w:p w14:paraId="2F1FF205">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3364" w:type="dxa"/>
            <w:tcBorders>
              <w:top w:val="single" w:color="auto" w:sz="4" w:space="0"/>
              <w:left w:val="single" w:color="auto" w:sz="4" w:space="0"/>
              <w:bottom w:val="single" w:color="auto" w:sz="4" w:space="0"/>
              <w:right w:val="single" w:color="auto" w:sz="4" w:space="0"/>
            </w:tcBorders>
          </w:tcPr>
          <w:p w14:paraId="7794647B">
            <w:pPr>
              <w:shd w:val="clear" w:color="auto" w:fill="FFFFFF"/>
              <w:tabs>
                <w:tab w:val="left" w:pos="612"/>
              </w:tabs>
              <w:spacing w:before="120" w:after="120"/>
              <w:jc w:val="center"/>
              <w:rPr>
                <w:b/>
                <w:iCs/>
                <w:sz w:val="20"/>
                <w:szCs w:val="20"/>
                <w:lang w:val="en-GB" w:eastAsia="ru-RU"/>
              </w:rPr>
            </w:pPr>
            <w:r>
              <w:rPr>
                <w:b/>
                <w:iCs/>
                <w:sz w:val="20"/>
                <w:szCs w:val="20"/>
                <w:lang w:eastAsia="ru-RU"/>
              </w:rPr>
              <w:t>Denumitea  documentului/cerintelor</w:t>
            </w:r>
            <w:r>
              <w:rPr>
                <w:b/>
                <w:iCs/>
                <w:sz w:val="20"/>
                <w:szCs w:val="20"/>
                <w:lang w:val="en-GB" w:eastAsia="ru-RU"/>
              </w:rPr>
              <w:t>)</w:t>
            </w:r>
          </w:p>
        </w:tc>
        <w:tc>
          <w:tcPr>
            <w:tcW w:w="3657" w:type="dxa"/>
            <w:tcBorders>
              <w:top w:val="single" w:color="auto" w:sz="4" w:space="0"/>
              <w:left w:val="single" w:color="auto" w:sz="4" w:space="0"/>
              <w:bottom w:val="single" w:color="auto" w:sz="4" w:space="0"/>
              <w:right w:val="single" w:color="auto" w:sz="4" w:space="0"/>
            </w:tcBorders>
          </w:tcPr>
          <w:p w14:paraId="12DFCB81">
            <w:pPr>
              <w:shd w:val="clear" w:color="auto" w:fill="FFFFFF"/>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36" w:type="dxa"/>
            <w:tcBorders>
              <w:top w:val="single" w:color="auto" w:sz="4" w:space="0"/>
              <w:left w:val="single" w:color="auto" w:sz="4" w:space="0"/>
              <w:bottom w:val="single" w:color="auto" w:sz="4" w:space="0"/>
              <w:right w:val="single" w:color="auto" w:sz="4" w:space="0"/>
            </w:tcBorders>
          </w:tcPr>
          <w:p w14:paraId="2E8EE16A">
            <w:pPr>
              <w:shd w:val="clear" w:color="auto" w:fill="FFFFFF"/>
              <w:tabs>
                <w:tab w:val="left" w:pos="612"/>
              </w:tabs>
              <w:spacing w:before="120" w:after="120"/>
              <w:jc w:val="center"/>
              <w:rPr>
                <w:b/>
                <w:iCs/>
                <w:sz w:val="20"/>
                <w:szCs w:val="20"/>
                <w:lang w:eastAsia="ru-RU"/>
              </w:rPr>
            </w:pPr>
            <w:r>
              <w:rPr>
                <w:b/>
                <w:iCs/>
                <w:sz w:val="20"/>
                <w:szCs w:val="20"/>
                <w:lang w:eastAsia="ru-RU"/>
              </w:rPr>
              <w:t>Obligativitate</w:t>
            </w:r>
          </w:p>
        </w:tc>
      </w:tr>
      <w:tr w14:paraId="6E23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21BB3D23">
            <w:pPr>
              <w:shd w:val="clear" w:color="auto" w:fill="FFFFFF"/>
              <w:tabs>
                <w:tab w:val="left" w:pos="612"/>
              </w:tabs>
              <w:spacing w:before="120" w:after="120"/>
              <w:rPr>
                <w:iCs/>
                <w:lang w:val="ru-RU" w:eastAsia="ru-RU"/>
              </w:rPr>
            </w:pPr>
          </w:p>
        </w:tc>
        <w:tc>
          <w:tcPr>
            <w:tcW w:w="7021" w:type="dxa"/>
            <w:gridSpan w:val="2"/>
            <w:tcBorders>
              <w:top w:val="single" w:color="auto" w:sz="4" w:space="0"/>
              <w:left w:val="single" w:color="auto" w:sz="4" w:space="0"/>
              <w:bottom w:val="single" w:color="auto" w:sz="4" w:space="0"/>
              <w:right w:val="single" w:color="auto" w:sz="4" w:space="0"/>
            </w:tcBorders>
          </w:tcPr>
          <w:p w14:paraId="27251EDD">
            <w:pPr>
              <w:shd w:val="clear" w:color="auto" w:fill="FFFFFF"/>
              <w:tabs>
                <w:tab w:val="left" w:pos="612"/>
              </w:tabs>
              <w:spacing w:before="120" w:after="120"/>
              <w:rPr>
                <w:iCs/>
                <w:sz w:val="22"/>
                <w:szCs w:val="22"/>
                <w:lang w:eastAsia="ru-RU"/>
              </w:rPr>
            </w:pPr>
            <w:r>
              <w:rPr>
                <w:iCs/>
                <w:lang w:eastAsia="ru-RU"/>
              </w:rPr>
              <w:t xml:space="preserve">                                      </w:t>
            </w:r>
            <w:r>
              <w:rPr>
                <w:iCs/>
                <w:sz w:val="22"/>
                <w:szCs w:val="22"/>
                <w:lang w:eastAsia="ru-RU"/>
              </w:rPr>
              <w:t>OBLIGATORIU!!!</w:t>
            </w:r>
          </w:p>
          <w:p w14:paraId="561DD222">
            <w:pPr>
              <w:shd w:val="clear" w:color="auto" w:fill="FFFFFF"/>
              <w:tabs>
                <w:tab w:val="left" w:pos="612"/>
              </w:tabs>
              <w:spacing w:before="120" w:after="120"/>
              <w:rPr>
                <w:iCs/>
                <w:lang w:eastAsia="ru-RU"/>
              </w:rPr>
            </w:pPr>
            <w:r>
              <w:rPr>
                <w:iCs/>
                <w:lang w:eastAsia="ru-RU"/>
              </w:rPr>
              <w:t>Toate documentele ofertei se solicit sa fie completate și semnate electronic de către ofertant.</w:t>
            </w:r>
          </w:p>
        </w:tc>
        <w:tc>
          <w:tcPr>
            <w:tcW w:w="1536" w:type="dxa"/>
            <w:tcBorders>
              <w:top w:val="single" w:color="auto" w:sz="4" w:space="0"/>
              <w:left w:val="single" w:color="auto" w:sz="4" w:space="0"/>
              <w:bottom w:val="single" w:color="auto" w:sz="4" w:space="0"/>
              <w:right w:val="single" w:color="auto" w:sz="4" w:space="0"/>
            </w:tcBorders>
          </w:tcPr>
          <w:p w14:paraId="511357FD">
            <w:pPr>
              <w:shd w:val="clear" w:color="auto" w:fill="FFFFFF"/>
              <w:tabs>
                <w:tab w:val="left" w:pos="612"/>
              </w:tabs>
              <w:spacing w:before="120" w:after="120"/>
              <w:rPr>
                <w:iCs/>
                <w:lang w:val="en-US" w:eastAsia="ru-RU"/>
              </w:rPr>
            </w:pPr>
          </w:p>
        </w:tc>
      </w:tr>
      <w:tr w14:paraId="52DF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936" w:type="dxa"/>
            <w:tcBorders>
              <w:top w:val="single" w:color="auto" w:sz="4" w:space="0"/>
              <w:left w:val="single" w:color="auto" w:sz="4" w:space="0"/>
              <w:right w:val="single" w:color="auto" w:sz="4" w:space="0"/>
            </w:tcBorders>
          </w:tcPr>
          <w:p w14:paraId="5EF971C8">
            <w:pPr>
              <w:shd w:val="clear" w:color="auto" w:fill="FFFFFF"/>
              <w:tabs>
                <w:tab w:val="left" w:pos="612"/>
              </w:tabs>
              <w:spacing w:before="120" w:after="120"/>
              <w:rPr>
                <w:iCs/>
                <w:lang w:val="en-US" w:eastAsia="ru-RU"/>
              </w:rPr>
            </w:pPr>
            <w:r>
              <w:rPr>
                <w:iCs/>
                <w:lang w:val="en-US" w:eastAsia="ru-RU"/>
              </w:rPr>
              <w:t>16,1</w:t>
            </w:r>
          </w:p>
        </w:tc>
        <w:tc>
          <w:tcPr>
            <w:tcW w:w="7021" w:type="dxa"/>
            <w:gridSpan w:val="2"/>
            <w:tcBorders>
              <w:top w:val="single" w:color="auto" w:sz="4" w:space="0"/>
              <w:left w:val="single" w:color="auto" w:sz="4" w:space="0"/>
              <w:right w:val="single" w:color="auto" w:sz="4" w:space="0"/>
            </w:tcBorders>
          </w:tcPr>
          <w:p w14:paraId="228EEBC9">
            <w:pPr>
              <w:shd w:val="clear" w:color="auto" w:fill="FFFFFF"/>
              <w:tabs>
                <w:tab w:val="left" w:pos="612"/>
              </w:tabs>
              <w:spacing w:before="120" w:after="120"/>
              <w:rPr>
                <w:b/>
                <w:iCs/>
                <w:lang w:eastAsia="ru-RU"/>
              </w:rPr>
            </w:pPr>
            <w:r>
              <w:rPr>
                <w:b/>
                <w:iCs/>
                <w:lang w:eastAsia="ru-RU"/>
              </w:rPr>
              <w:t>Oferta financiară</w:t>
            </w:r>
          </w:p>
        </w:tc>
        <w:tc>
          <w:tcPr>
            <w:tcW w:w="1536" w:type="dxa"/>
            <w:tcBorders>
              <w:top w:val="single" w:color="auto" w:sz="4" w:space="0"/>
              <w:left w:val="single" w:color="auto" w:sz="4" w:space="0"/>
              <w:right w:val="single" w:color="auto" w:sz="4" w:space="0"/>
            </w:tcBorders>
          </w:tcPr>
          <w:p w14:paraId="5FF84799">
            <w:pPr>
              <w:shd w:val="clear" w:color="auto" w:fill="FFFFFF"/>
              <w:tabs>
                <w:tab w:val="left" w:pos="612"/>
              </w:tabs>
              <w:spacing w:before="120" w:after="120"/>
              <w:rPr>
                <w:iCs/>
                <w:lang w:val="en-US" w:eastAsia="ru-RU"/>
              </w:rPr>
            </w:pPr>
          </w:p>
        </w:tc>
      </w:tr>
      <w:tr w14:paraId="5C18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36" w:type="dxa"/>
            <w:vMerge w:val="restart"/>
            <w:tcBorders>
              <w:top w:val="single" w:color="auto" w:sz="4" w:space="0"/>
              <w:left w:val="single" w:color="auto" w:sz="4" w:space="0"/>
              <w:right w:val="single" w:color="auto" w:sz="4" w:space="0"/>
            </w:tcBorders>
          </w:tcPr>
          <w:p w14:paraId="68233255">
            <w:pPr>
              <w:shd w:val="clear" w:color="auto" w:fill="FFFFFF"/>
              <w:tabs>
                <w:tab w:val="left" w:pos="612"/>
              </w:tabs>
              <w:spacing w:before="120" w:after="120"/>
              <w:rPr>
                <w:iCs/>
                <w:lang w:val="en-US" w:eastAsia="ru-RU"/>
              </w:rPr>
            </w:pPr>
          </w:p>
          <w:p w14:paraId="294ED6E6">
            <w:pPr>
              <w:shd w:val="clear" w:color="auto" w:fill="FFFFFF"/>
              <w:tabs>
                <w:tab w:val="left" w:pos="612"/>
              </w:tabs>
              <w:spacing w:before="120" w:after="120"/>
              <w:rPr>
                <w:iCs/>
                <w:lang w:val="en-US" w:eastAsia="ru-RU"/>
              </w:rPr>
            </w:pPr>
            <w:r>
              <w:rPr>
                <w:iCs/>
                <w:lang w:val="en-US" w:eastAsia="ru-RU"/>
              </w:rPr>
              <w:t>16.1.1</w:t>
            </w:r>
          </w:p>
          <w:p w14:paraId="5096FE3C">
            <w:pPr>
              <w:shd w:val="clear" w:color="auto" w:fill="FFFFFF"/>
              <w:tabs>
                <w:tab w:val="left" w:pos="612"/>
              </w:tabs>
              <w:spacing w:before="120" w:after="120"/>
              <w:rPr>
                <w:iCs/>
                <w:lang w:val="en-US" w:eastAsia="ru-RU"/>
              </w:rPr>
            </w:pPr>
          </w:p>
        </w:tc>
        <w:tc>
          <w:tcPr>
            <w:tcW w:w="3364" w:type="dxa"/>
            <w:tcBorders>
              <w:top w:val="single" w:color="auto" w:sz="4" w:space="0"/>
              <w:left w:val="single" w:color="auto" w:sz="4" w:space="0"/>
              <w:bottom w:val="single" w:color="auto" w:sz="4" w:space="0"/>
              <w:right w:val="single" w:color="auto" w:sz="4" w:space="0"/>
            </w:tcBorders>
          </w:tcPr>
          <w:p w14:paraId="4BA424FA">
            <w:pPr>
              <w:shd w:val="clear" w:color="auto" w:fill="FFFFFF"/>
              <w:tabs>
                <w:tab w:val="left" w:pos="612"/>
              </w:tabs>
              <w:spacing w:before="120" w:after="120"/>
              <w:rPr>
                <w:iCs/>
                <w:sz w:val="22"/>
                <w:szCs w:val="22"/>
                <w:lang w:eastAsia="ru-RU"/>
              </w:rPr>
            </w:pPr>
            <w:r>
              <w:rPr>
                <w:iCs/>
                <w:sz w:val="22"/>
                <w:szCs w:val="22"/>
                <w:lang w:eastAsia="ru-RU"/>
              </w:rPr>
              <w:t>Specificații tehnice</w:t>
            </w:r>
          </w:p>
        </w:tc>
        <w:tc>
          <w:tcPr>
            <w:tcW w:w="3657" w:type="dxa"/>
            <w:tcBorders>
              <w:top w:val="single" w:color="auto" w:sz="4" w:space="0"/>
              <w:left w:val="single" w:color="auto" w:sz="4" w:space="0"/>
              <w:bottom w:val="single" w:color="auto" w:sz="4" w:space="0"/>
              <w:right w:val="single" w:color="auto" w:sz="4" w:space="0"/>
            </w:tcBorders>
          </w:tcPr>
          <w:p w14:paraId="732B7B36">
            <w:pPr>
              <w:shd w:val="clear" w:color="auto" w:fill="FFFFFF"/>
              <w:tabs>
                <w:tab w:val="left" w:pos="612"/>
              </w:tabs>
              <w:spacing w:before="120" w:after="120"/>
              <w:rPr>
                <w:iCs/>
                <w:sz w:val="22"/>
                <w:szCs w:val="22"/>
                <w:lang w:eastAsia="ru-RU"/>
              </w:rPr>
            </w:pPr>
            <w:r>
              <w:rPr>
                <w:iCs/>
                <w:sz w:val="22"/>
                <w:szCs w:val="22"/>
                <w:lang w:eastAsia="ru-RU"/>
              </w:rPr>
              <w:t>Conform Documentației standard bunuri si servicii (anexa nr.22)</w:t>
            </w:r>
          </w:p>
        </w:tc>
        <w:tc>
          <w:tcPr>
            <w:tcW w:w="1536" w:type="dxa"/>
            <w:tcBorders>
              <w:top w:val="single" w:color="auto" w:sz="4" w:space="0"/>
              <w:left w:val="single" w:color="auto" w:sz="4" w:space="0"/>
              <w:bottom w:val="single" w:color="auto" w:sz="4" w:space="0"/>
              <w:right w:val="single" w:color="auto" w:sz="4" w:space="0"/>
            </w:tcBorders>
          </w:tcPr>
          <w:p w14:paraId="6622B223">
            <w:pPr>
              <w:shd w:val="clear" w:color="auto" w:fill="FFFFFF"/>
              <w:tabs>
                <w:tab w:val="left" w:pos="612"/>
              </w:tabs>
              <w:spacing w:before="120" w:after="120"/>
              <w:rPr>
                <w:iCs/>
                <w:lang w:val="en-US" w:eastAsia="ru-RU"/>
              </w:rPr>
            </w:pPr>
            <w:r>
              <w:rPr>
                <w:iCs/>
                <w:lang w:val="en-US" w:eastAsia="ru-RU"/>
              </w:rPr>
              <w:t>Obligatoriu</w:t>
            </w:r>
          </w:p>
        </w:tc>
      </w:tr>
      <w:tr w14:paraId="1FE4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936" w:type="dxa"/>
            <w:vMerge w:val="continue"/>
            <w:tcBorders>
              <w:left w:val="single" w:color="auto" w:sz="4" w:space="0"/>
              <w:bottom w:val="single" w:color="auto" w:sz="4" w:space="0"/>
              <w:right w:val="single" w:color="auto" w:sz="4" w:space="0"/>
            </w:tcBorders>
          </w:tcPr>
          <w:p w14:paraId="40B267CE">
            <w:pPr>
              <w:shd w:val="clear" w:color="auto" w:fill="FFFFFF"/>
              <w:tabs>
                <w:tab w:val="left" w:pos="612"/>
              </w:tabs>
              <w:spacing w:before="120" w:after="120"/>
              <w:rPr>
                <w:iCs/>
                <w:lang w:val="en-US" w:eastAsia="ru-RU"/>
              </w:rPr>
            </w:pPr>
          </w:p>
        </w:tc>
        <w:tc>
          <w:tcPr>
            <w:tcW w:w="3364" w:type="dxa"/>
            <w:tcBorders>
              <w:top w:val="single" w:color="auto" w:sz="4" w:space="0"/>
              <w:left w:val="single" w:color="auto" w:sz="4" w:space="0"/>
              <w:bottom w:val="single" w:color="auto" w:sz="4" w:space="0"/>
              <w:right w:val="single" w:color="auto" w:sz="4" w:space="0"/>
            </w:tcBorders>
          </w:tcPr>
          <w:p w14:paraId="17451FA2">
            <w:pPr>
              <w:shd w:val="clear" w:color="auto" w:fill="FFFFFF"/>
              <w:tabs>
                <w:tab w:val="left" w:pos="612"/>
              </w:tabs>
              <w:spacing w:before="120" w:after="120"/>
              <w:rPr>
                <w:iCs/>
                <w:sz w:val="22"/>
                <w:szCs w:val="22"/>
                <w:lang w:eastAsia="ru-RU"/>
              </w:rPr>
            </w:pPr>
            <w:r>
              <w:rPr>
                <w:iCs/>
                <w:sz w:val="22"/>
                <w:szCs w:val="22"/>
                <w:lang w:eastAsia="ru-RU"/>
              </w:rPr>
              <w:t>Specificații de preț</w:t>
            </w:r>
          </w:p>
        </w:tc>
        <w:tc>
          <w:tcPr>
            <w:tcW w:w="3657" w:type="dxa"/>
            <w:tcBorders>
              <w:top w:val="single" w:color="auto" w:sz="4" w:space="0"/>
              <w:left w:val="single" w:color="auto" w:sz="4" w:space="0"/>
              <w:bottom w:val="single" w:color="auto" w:sz="4" w:space="0"/>
              <w:right w:val="single" w:color="auto" w:sz="4" w:space="0"/>
            </w:tcBorders>
          </w:tcPr>
          <w:p w14:paraId="51DB3C81">
            <w:pPr>
              <w:shd w:val="clear" w:color="auto" w:fill="FFFFFF"/>
              <w:tabs>
                <w:tab w:val="left" w:pos="612"/>
              </w:tabs>
              <w:spacing w:before="120" w:after="120"/>
              <w:rPr>
                <w:iCs/>
                <w:sz w:val="22"/>
                <w:szCs w:val="22"/>
                <w:lang w:eastAsia="ru-RU"/>
              </w:rPr>
            </w:pPr>
            <w:r>
              <w:rPr>
                <w:iCs/>
                <w:sz w:val="22"/>
                <w:szCs w:val="22"/>
                <w:lang w:eastAsia="ru-RU"/>
              </w:rPr>
              <w:t>Conform Documentației standard bunuri si sevicii (anexa nr.23)</w:t>
            </w:r>
          </w:p>
        </w:tc>
        <w:tc>
          <w:tcPr>
            <w:tcW w:w="1536" w:type="dxa"/>
            <w:tcBorders>
              <w:top w:val="single" w:color="auto" w:sz="4" w:space="0"/>
              <w:left w:val="single" w:color="auto" w:sz="4" w:space="0"/>
              <w:bottom w:val="single" w:color="auto" w:sz="4" w:space="0"/>
              <w:right w:val="single" w:color="auto" w:sz="4" w:space="0"/>
            </w:tcBorders>
          </w:tcPr>
          <w:p w14:paraId="62ACF29C">
            <w:pPr>
              <w:shd w:val="clear" w:color="auto" w:fill="FFFFFF"/>
              <w:tabs>
                <w:tab w:val="left" w:pos="612"/>
              </w:tabs>
              <w:spacing w:before="120" w:after="120"/>
              <w:rPr>
                <w:iCs/>
                <w:lang w:val="en-US" w:eastAsia="ru-RU"/>
              </w:rPr>
            </w:pPr>
            <w:r>
              <w:rPr>
                <w:iCs/>
                <w:lang w:val="en-US" w:eastAsia="ru-RU"/>
              </w:rPr>
              <w:t>Obligatoriu</w:t>
            </w:r>
          </w:p>
        </w:tc>
      </w:tr>
      <w:tr w14:paraId="56E15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0F539C03">
            <w:pPr>
              <w:shd w:val="clear" w:color="auto" w:fill="FFFFFF"/>
              <w:tabs>
                <w:tab w:val="left" w:pos="612"/>
              </w:tabs>
              <w:spacing w:before="120" w:after="120"/>
              <w:rPr>
                <w:iCs/>
                <w:lang w:val="en-US" w:eastAsia="ru-RU"/>
              </w:rPr>
            </w:pPr>
            <w:r>
              <w:rPr>
                <w:iCs/>
                <w:lang w:val="en-US" w:eastAsia="ru-RU"/>
              </w:rPr>
              <w:t>16.1.2</w:t>
            </w:r>
          </w:p>
        </w:tc>
        <w:tc>
          <w:tcPr>
            <w:tcW w:w="3364" w:type="dxa"/>
            <w:tcBorders>
              <w:top w:val="single" w:color="auto" w:sz="4" w:space="0"/>
              <w:left w:val="single" w:color="auto" w:sz="4" w:space="0"/>
              <w:bottom w:val="single" w:color="auto" w:sz="4" w:space="0"/>
              <w:right w:val="single" w:color="auto" w:sz="4" w:space="0"/>
            </w:tcBorders>
          </w:tcPr>
          <w:p w14:paraId="1594EB38">
            <w:pPr>
              <w:shd w:val="clear" w:color="auto" w:fill="FFFFFF"/>
              <w:tabs>
                <w:tab w:val="left" w:pos="612"/>
              </w:tabs>
              <w:spacing w:before="120" w:after="120"/>
              <w:rPr>
                <w:b/>
                <w:iCs/>
                <w:lang w:eastAsia="ru-RU"/>
              </w:rPr>
            </w:pPr>
            <w:r>
              <w:rPr>
                <w:b/>
                <w:iCs/>
                <w:lang w:eastAsia="ru-RU"/>
              </w:rPr>
              <w:t>Cerere de participare</w:t>
            </w:r>
          </w:p>
        </w:tc>
        <w:tc>
          <w:tcPr>
            <w:tcW w:w="3657" w:type="dxa"/>
            <w:tcBorders>
              <w:top w:val="single" w:color="auto" w:sz="4" w:space="0"/>
              <w:left w:val="single" w:color="auto" w:sz="4" w:space="0"/>
              <w:bottom w:val="single" w:color="auto" w:sz="4" w:space="0"/>
              <w:right w:val="single" w:color="auto" w:sz="4" w:space="0"/>
            </w:tcBorders>
          </w:tcPr>
          <w:p w14:paraId="0D108BCE">
            <w:pPr>
              <w:shd w:val="clear" w:color="auto" w:fill="FFFFFF"/>
              <w:tabs>
                <w:tab w:val="left" w:pos="612"/>
              </w:tabs>
              <w:spacing w:before="120" w:after="120"/>
              <w:rPr>
                <w:iCs/>
                <w:lang w:eastAsia="ru-RU"/>
              </w:rPr>
            </w:pPr>
            <w:r>
              <w:rPr>
                <w:iCs/>
                <w:lang w:eastAsia="ru-RU"/>
              </w:rPr>
              <w:t>Conform Documentației standard bunuri si sevicii</w:t>
            </w:r>
          </w:p>
          <w:p w14:paraId="4ED003C0">
            <w:pPr>
              <w:shd w:val="clear" w:color="auto" w:fill="FFFFFF"/>
              <w:tabs>
                <w:tab w:val="left" w:pos="612"/>
              </w:tabs>
              <w:spacing w:before="120" w:after="120"/>
              <w:rPr>
                <w:iCs/>
                <w:lang w:eastAsia="ru-RU"/>
              </w:rPr>
            </w:pPr>
            <w:r>
              <w:rPr>
                <w:iCs/>
                <w:lang w:eastAsia="ru-RU"/>
              </w:rPr>
              <w:t>(anexa nr.7)</w:t>
            </w:r>
          </w:p>
        </w:tc>
        <w:tc>
          <w:tcPr>
            <w:tcW w:w="1536" w:type="dxa"/>
            <w:tcBorders>
              <w:top w:val="single" w:color="auto" w:sz="4" w:space="0"/>
              <w:left w:val="single" w:color="auto" w:sz="4" w:space="0"/>
              <w:bottom w:val="single" w:color="auto" w:sz="4" w:space="0"/>
              <w:right w:val="single" w:color="auto" w:sz="4" w:space="0"/>
            </w:tcBorders>
          </w:tcPr>
          <w:p w14:paraId="1D2CB325">
            <w:pPr>
              <w:shd w:val="clear" w:color="auto" w:fill="FFFFFF"/>
              <w:tabs>
                <w:tab w:val="left" w:pos="612"/>
              </w:tabs>
              <w:spacing w:before="120" w:after="120"/>
              <w:rPr>
                <w:iCs/>
                <w:lang w:val="en-US" w:eastAsia="ru-RU"/>
              </w:rPr>
            </w:pPr>
            <w:r>
              <w:rPr>
                <w:iCs/>
                <w:lang w:val="en-US" w:eastAsia="ru-RU"/>
              </w:rPr>
              <w:t>Obligatoriu</w:t>
            </w:r>
          </w:p>
        </w:tc>
      </w:tr>
      <w:tr w14:paraId="08A2A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1DBF5D77">
            <w:pPr>
              <w:shd w:val="clear" w:color="auto" w:fill="FFFFFF"/>
              <w:tabs>
                <w:tab w:val="left" w:pos="612"/>
              </w:tabs>
              <w:spacing w:before="120" w:after="120"/>
              <w:rPr>
                <w:iCs/>
                <w:lang w:val="en-US" w:eastAsia="ru-RU"/>
              </w:rPr>
            </w:pPr>
            <w:r>
              <w:rPr>
                <w:iCs/>
                <w:lang w:val="en-US" w:eastAsia="ru-RU"/>
              </w:rPr>
              <w:t>16.1.3</w:t>
            </w:r>
          </w:p>
        </w:tc>
        <w:tc>
          <w:tcPr>
            <w:tcW w:w="3364" w:type="dxa"/>
            <w:tcBorders>
              <w:top w:val="single" w:color="auto" w:sz="4" w:space="0"/>
              <w:left w:val="single" w:color="auto" w:sz="4" w:space="0"/>
              <w:bottom w:val="single" w:color="auto" w:sz="4" w:space="0"/>
              <w:right w:val="single" w:color="auto" w:sz="4" w:space="0"/>
            </w:tcBorders>
          </w:tcPr>
          <w:p w14:paraId="51715B39">
            <w:pPr>
              <w:shd w:val="clear" w:color="auto" w:fill="FFFFFF"/>
              <w:tabs>
                <w:tab w:val="left" w:pos="612"/>
              </w:tabs>
              <w:spacing w:before="120" w:after="120"/>
              <w:rPr>
                <w:iCs/>
                <w:sz w:val="22"/>
                <w:szCs w:val="22"/>
                <w:lang w:eastAsia="ru-RU"/>
              </w:rPr>
            </w:pPr>
            <w:r>
              <w:rPr>
                <w:iCs/>
                <w:sz w:val="22"/>
                <w:szCs w:val="22"/>
                <w:lang w:eastAsia="ru-RU"/>
              </w:rPr>
              <w:t>Declarație privind valibilitatea  ofertei, termen de valibilitate al ofertei se solicită  30 zile</w:t>
            </w:r>
          </w:p>
        </w:tc>
        <w:tc>
          <w:tcPr>
            <w:tcW w:w="3657" w:type="dxa"/>
            <w:tcBorders>
              <w:top w:val="single" w:color="auto" w:sz="4" w:space="0"/>
              <w:left w:val="single" w:color="auto" w:sz="4" w:space="0"/>
              <w:bottom w:val="single" w:color="auto" w:sz="4" w:space="0"/>
              <w:right w:val="single" w:color="auto" w:sz="4" w:space="0"/>
            </w:tcBorders>
          </w:tcPr>
          <w:p w14:paraId="04C56E01">
            <w:pPr>
              <w:shd w:val="clear" w:color="auto" w:fill="FFFFFF"/>
              <w:tabs>
                <w:tab w:val="left" w:pos="612"/>
              </w:tabs>
              <w:spacing w:before="120" w:after="120"/>
              <w:rPr>
                <w:iCs/>
                <w:sz w:val="22"/>
                <w:szCs w:val="22"/>
                <w:lang w:eastAsia="ru-RU"/>
              </w:rPr>
            </w:pPr>
            <w:r>
              <w:rPr>
                <w:iCs/>
                <w:sz w:val="22"/>
                <w:szCs w:val="22"/>
                <w:lang w:eastAsia="ru-RU"/>
              </w:rPr>
              <w:t>Conform Documentației standard bunuri si sevicii</w:t>
            </w:r>
          </w:p>
          <w:p w14:paraId="2519DD1A">
            <w:pPr>
              <w:shd w:val="clear" w:color="auto" w:fill="FFFFFF"/>
              <w:tabs>
                <w:tab w:val="left" w:pos="612"/>
              </w:tabs>
              <w:spacing w:before="120" w:after="120"/>
              <w:rPr>
                <w:iCs/>
                <w:sz w:val="22"/>
                <w:szCs w:val="22"/>
                <w:lang w:eastAsia="ru-RU"/>
              </w:rPr>
            </w:pPr>
            <w:r>
              <w:rPr>
                <w:iCs/>
                <w:sz w:val="22"/>
                <w:szCs w:val="22"/>
                <w:lang w:eastAsia="ru-RU"/>
              </w:rPr>
              <w:t>(anexa nr.8)</w:t>
            </w:r>
          </w:p>
        </w:tc>
        <w:tc>
          <w:tcPr>
            <w:tcW w:w="1536" w:type="dxa"/>
            <w:tcBorders>
              <w:top w:val="single" w:color="auto" w:sz="4" w:space="0"/>
              <w:left w:val="single" w:color="auto" w:sz="4" w:space="0"/>
              <w:bottom w:val="single" w:color="auto" w:sz="4" w:space="0"/>
              <w:right w:val="single" w:color="auto" w:sz="4" w:space="0"/>
            </w:tcBorders>
          </w:tcPr>
          <w:p w14:paraId="6C4405E2">
            <w:pPr>
              <w:shd w:val="clear" w:color="auto" w:fill="FFFFFF"/>
              <w:tabs>
                <w:tab w:val="left" w:pos="612"/>
              </w:tabs>
              <w:spacing w:before="120" w:after="120"/>
              <w:rPr>
                <w:iCs/>
                <w:lang w:val="en-US" w:eastAsia="ru-RU"/>
              </w:rPr>
            </w:pPr>
            <w:r>
              <w:rPr>
                <w:iCs/>
                <w:lang w:val="en-US" w:eastAsia="ru-RU"/>
              </w:rPr>
              <w:t>Obligatoriu</w:t>
            </w:r>
          </w:p>
        </w:tc>
      </w:tr>
      <w:tr w14:paraId="32DB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6406B6D6">
            <w:pPr>
              <w:shd w:val="clear" w:color="auto" w:fill="FFFFFF"/>
              <w:tabs>
                <w:tab w:val="left" w:pos="612"/>
              </w:tabs>
              <w:spacing w:before="120" w:after="120"/>
              <w:rPr>
                <w:iCs/>
                <w:lang w:val="en-US" w:eastAsia="ru-RU"/>
              </w:rPr>
            </w:pPr>
            <w:r>
              <w:rPr>
                <w:iCs/>
                <w:lang w:val="en-US" w:eastAsia="ru-RU"/>
              </w:rPr>
              <w:t>16,2</w:t>
            </w:r>
          </w:p>
        </w:tc>
        <w:tc>
          <w:tcPr>
            <w:tcW w:w="7021" w:type="dxa"/>
            <w:gridSpan w:val="2"/>
            <w:tcBorders>
              <w:top w:val="single" w:color="auto" w:sz="4" w:space="0"/>
              <w:left w:val="single" w:color="auto" w:sz="4" w:space="0"/>
              <w:bottom w:val="single" w:color="auto" w:sz="4" w:space="0"/>
              <w:right w:val="single" w:color="auto" w:sz="4" w:space="0"/>
            </w:tcBorders>
          </w:tcPr>
          <w:p w14:paraId="70A12647">
            <w:pPr>
              <w:shd w:val="clear" w:color="auto" w:fill="FFFFFF"/>
              <w:tabs>
                <w:tab w:val="left" w:pos="612"/>
              </w:tabs>
              <w:spacing w:before="120" w:after="120"/>
              <w:rPr>
                <w:b/>
                <w:iCs/>
                <w:sz w:val="22"/>
                <w:szCs w:val="22"/>
                <w:lang w:eastAsia="ru-RU"/>
              </w:rPr>
            </w:pPr>
            <w:r>
              <w:rPr>
                <w:b/>
                <w:iCs/>
                <w:sz w:val="22"/>
                <w:szCs w:val="22"/>
                <w:lang w:eastAsia="ru-RU"/>
              </w:rPr>
              <w:t>Garanția pentru ofertă</w:t>
            </w:r>
          </w:p>
        </w:tc>
        <w:tc>
          <w:tcPr>
            <w:tcW w:w="1536" w:type="dxa"/>
            <w:tcBorders>
              <w:top w:val="single" w:color="auto" w:sz="4" w:space="0"/>
              <w:left w:val="single" w:color="auto" w:sz="4" w:space="0"/>
              <w:bottom w:val="single" w:color="auto" w:sz="4" w:space="0"/>
              <w:right w:val="single" w:color="auto" w:sz="4" w:space="0"/>
            </w:tcBorders>
          </w:tcPr>
          <w:p w14:paraId="71465944">
            <w:pPr>
              <w:shd w:val="clear" w:color="auto" w:fill="FFFFFF"/>
              <w:tabs>
                <w:tab w:val="left" w:pos="612"/>
              </w:tabs>
              <w:spacing w:before="120" w:after="120"/>
              <w:rPr>
                <w:iCs/>
                <w:lang w:val="en-US" w:eastAsia="ru-RU"/>
              </w:rPr>
            </w:pPr>
          </w:p>
        </w:tc>
      </w:tr>
      <w:tr w14:paraId="7EBA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29CCB11E">
            <w:pPr>
              <w:shd w:val="clear" w:color="auto" w:fill="FFFFFF"/>
              <w:tabs>
                <w:tab w:val="left" w:pos="612"/>
              </w:tabs>
              <w:spacing w:before="120" w:after="120"/>
              <w:rPr>
                <w:iCs/>
                <w:lang w:val="en-US" w:eastAsia="ru-RU"/>
              </w:rPr>
            </w:pPr>
            <w:r>
              <w:rPr>
                <w:iCs/>
                <w:lang w:val="en-US" w:eastAsia="ru-RU"/>
              </w:rPr>
              <w:t>16.2.1</w:t>
            </w:r>
          </w:p>
        </w:tc>
        <w:tc>
          <w:tcPr>
            <w:tcW w:w="3364" w:type="dxa"/>
            <w:tcBorders>
              <w:top w:val="single" w:color="auto" w:sz="4" w:space="0"/>
              <w:left w:val="single" w:color="auto" w:sz="4" w:space="0"/>
              <w:bottom w:val="single" w:color="auto" w:sz="4" w:space="0"/>
              <w:right w:val="single" w:color="auto" w:sz="4" w:space="0"/>
            </w:tcBorders>
          </w:tcPr>
          <w:p w14:paraId="2CB3946E">
            <w:pPr>
              <w:shd w:val="clear" w:color="auto" w:fill="FFFFFF"/>
              <w:tabs>
                <w:tab w:val="left" w:pos="612"/>
              </w:tabs>
              <w:spacing w:before="120" w:after="120"/>
              <w:rPr>
                <w:iCs/>
                <w:sz w:val="22"/>
                <w:szCs w:val="22"/>
                <w:lang w:eastAsia="ru-RU"/>
              </w:rPr>
            </w:pPr>
            <w:r>
              <w:rPr>
                <w:iCs/>
                <w:sz w:val="22"/>
                <w:szCs w:val="22"/>
                <w:lang w:eastAsia="ru-RU"/>
              </w:rPr>
              <w:t>Garanție bancară emisă de către instituția financiară unde se deservește ofertantul în valoare de 1,0% din suma ofertei</w:t>
            </w:r>
          </w:p>
          <w:p w14:paraId="00521336">
            <w:pPr>
              <w:shd w:val="clear" w:color="auto" w:fill="FFFFFF"/>
              <w:tabs>
                <w:tab w:val="left" w:pos="612"/>
              </w:tabs>
              <w:spacing w:before="120" w:after="120"/>
              <w:rPr>
                <w:iCs/>
                <w:sz w:val="22"/>
                <w:szCs w:val="22"/>
                <w:lang w:eastAsia="ru-RU"/>
              </w:rPr>
            </w:pPr>
            <w:r>
              <w:rPr>
                <w:iCs/>
                <w:sz w:val="22"/>
                <w:szCs w:val="22"/>
                <w:lang w:eastAsia="ru-RU"/>
              </w:rPr>
              <w:t>.</w:t>
            </w:r>
          </w:p>
        </w:tc>
        <w:tc>
          <w:tcPr>
            <w:tcW w:w="3657" w:type="dxa"/>
            <w:tcBorders>
              <w:top w:val="single" w:color="auto" w:sz="4" w:space="0"/>
              <w:left w:val="single" w:color="auto" w:sz="4" w:space="0"/>
              <w:bottom w:val="single" w:color="auto" w:sz="4" w:space="0"/>
              <w:right w:val="single" w:color="auto" w:sz="4" w:space="0"/>
            </w:tcBorders>
          </w:tcPr>
          <w:p w14:paraId="67B7AA86">
            <w:pPr>
              <w:shd w:val="clear" w:color="auto" w:fill="FFFFFF"/>
              <w:tabs>
                <w:tab w:val="left" w:pos="612"/>
              </w:tabs>
              <w:spacing w:before="120" w:after="120"/>
              <w:rPr>
                <w:iCs/>
                <w:sz w:val="22"/>
                <w:szCs w:val="22"/>
                <w:lang w:eastAsia="ru-RU"/>
              </w:rPr>
            </w:pPr>
            <w:r>
              <w:rPr>
                <w:iCs/>
                <w:sz w:val="22"/>
                <w:szCs w:val="22"/>
                <w:lang w:eastAsia="ru-RU"/>
              </w:rPr>
              <w:t>Conform Documentației standard bunuri si sevicii</w:t>
            </w:r>
          </w:p>
          <w:p w14:paraId="0C15C175">
            <w:pPr>
              <w:shd w:val="clear" w:color="auto" w:fill="FFFFFF"/>
              <w:tabs>
                <w:tab w:val="left" w:pos="612"/>
              </w:tabs>
              <w:spacing w:before="120" w:after="120"/>
              <w:rPr>
                <w:iCs/>
                <w:sz w:val="22"/>
                <w:szCs w:val="22"/>
                <w:lang w:eastAsia="ru-RU"/>
              </w:rPr>
            </w:pPr>
            <w:r>
              <w:rPr>
                <w:iCs/>
                <w:sz w:val="22"/>
                <w:szCs w:val="22"/>
                <w:lang w:eastAsia="ru-RU"/>
              </w:rPr>
              <w:t>(anexa nr.9)</w:t>
            </w:r>
          </w:p>
        </w:tc>
        <w:tc>
          <w:tcPr>
            <w:tcW w:w="1536" w:type="dxa"/>
            <w:tcBorders>
              <w:top w:val="single" w:color="auto" w:sz="4" w:space="0"/>
              <w:left w:val="single" w:color="auto" w:sz="4" w:space="0"/>
              <w:bottom w:val="single" w:color="auto" w:sz="4" w:space="0"/>
              <w:right w:val="single" w:color="auto" w:sz="4" w:space="0"/>
            </w:tcBorders>
          </w:tcPr>
          <w:p w14:paraId="39AB6126">
            <w:pPr>
              <w:shd w:val="clear" w:color="auto" w:fill="FFFFFF"/>
              <w:tabs>
                <w:tab w:val="left" w:pos="612"/>
              </w:tabs>
              <w:spacing w:before="120" w:after="120"/>
              <w:rPr>
                <w:iCs/>
                <w:lang w:val="en-US" w:eastAsia="ru-RU"/>
              </w:rPr>
            </w:pPr>
            <w:r>
              <w:rPr>
                <w:iCs/>
                <w:lang w:val="en-US" w:eastAsia="ru-RU"/>
              </w:rPr>
              <w:t>Obligatoriu</w:t>
            </w:r>
          </w:p>
        </w:tc>
      </w:tr>
      <w:tr w14:paraId="7C06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5C4ECF07">
            <w:pPr>
              <w:shd w:val="clear" w:color="auto" w:fill="FFFFFF"/>
              <w:tabs>
                <w:tab w:val="left" w:pos="612"/>
              </w:tabs>
              <w:spacing w:before="120" w:after="120"/>
              <w:rPr>
                <w:iCs/>
                <w:lang w:val="en-US" w:eastAsia="ru-RU"/>
              </w:rPr>
            </w:pPr>
            <w:r>
              <w:rPr>
                <w:iCs/>
                <w:lang w:val="en-US" w:eastAsia="ru-RU"/>
              </w:rPr>
              <w:t>16.3</w:t>
            </w:r>
          </w:p>
        </w:tc>
        <w:tc>
          <w:tcPr>
            <w:tcW w:w="7021" w:type="dxa"/>
            <w:gridSpan w:val="2"/>
            <w:tcBorders>
              <w:top w:val="single" w:color="auto" w:sz="4" w:space="0"/>
              <w:left w:val="single" w:color="auto" w:sz="4" w:space="0"/>
              <w:bottom w:val="single" w:color="auto" w:sz="4" w:space="0"/>
              <w:right w:val="single" w:color="auto" w:sz="4" w:space="0"/>
            </w:tcBorders>
          </w:tcPr>
          <w:p w14:paraId="566936C1">
            <w:pPr>
              <w:shd w:val="clear" w:color="auto" w:fill="FFFFFF"/>
              <w:tabs>
                <w:tab w:val="left" w:pos="612"/>
              </w:tabs>
              <w:spacing w:before="120" w:after="120"/>
              <w:rPr>
                <w:b/>
                <w:iCs/>
                <w:sz w:val="22"/>
                <w:szCs w:val="22"/>
                <w:lang w:eastAsia="ru-RU"/>
              </w:rPr>
            </w:pPr>
            <w:r>
              <w:rPr>
                <w:b/>
                <w:iCs/>
                <w:sz w:val="22"/>
                <w:szCs w:val="22"/>
                <w:lang w:eastAsia="ru-RU"/>
              </w:rPr>
              <w:t>Documentul Unic de Achiziții European</w:t>
            </w:r>
          </w:p>
        </w:tc>
        <w:tc>
          <w:tcPr>
            <w:tcW w:w="1536" w:type="dxa"/>
            <w:tcBorders>
              <w:top w:val="single" w:color="auto" w:sz="4" w:space="0"/>
              <w:left w:val="single" w:color="auto" w:sz="4" w:space="0"/>
              <w:bottom w:val="single" w:color="auto" w:sz="4" w:space="0"/>
              <w:right w:val="single" w:color="auto" w:sz="4" w:space="0"/>
            </w:tcBorders>
          </w:tcPr>
          <w:p w14:paraId="1D666395">
            <w:pPr>
              <w:shd w:val="clear" w:color="auto" w:fill="FFFFFF"/>
              <w:tabs>
                <w:tab w:val="left" w:pos="612"/>
              </w:tabs>
              <w:spacing w:before="120" w:after="120"/>
              <w:rPr>
                <w:iCs/>
                <w:lang w:val="en-US" w:eastAsia="ru-RU"/>
              </w:rPr>
            </w:pPr>
          </w:p>
        </w:tc>
      </w:tr>
      <w:tr w14:paraId="3265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32B01A00">
            <w:pPr>
              <w:shd w:val="clear" w:color="auto" w:fill="FFFFFF"/>
              <w:tabs>
                <w:tab w:val="left" w:pos="612"/>
              </w:tabs>
              <w:spacing w:before="120" w:after="120"/>
              <w:rPr>
                <w:iCs/>
                <w:lang w:eastAsia="ru-RU"/>
              </w:rPr>
            </w:pPr>
            <w:r>
              <w:rPr>
                <w:iCs/>
                <w:lang w:eastAsia="ru-RU"/>
              </w:rPr>
              <w:t>16.3.1</w:t>
            </w:r>
          </w:p>
        </w:tc>
        <w:tc>
          <w:tcPr>
            <w:tcW w:w="3364" w:type="dxa"/>
            <w:tcBorders>
              <w:top w:val="single" w:color="auto" w:sz="4" w:space="0"/>
              <w:left w:val="single" w:color="auto" w:sz="4" w:space="0"/>
              <w:bottom w:val="single" w:color="auto" w:sz="4" w:space="0"/>
              <w:right w:val="single" w:color="auto" w:sz="4" w:space="0"/>
            </w:tcBorders>
          </w:tcPr>
          <w:p w14:paraId="28E23E5B">
            <w:pPr>
              <w:shd w:val="clear" w:color="auto" w:fill="FFFFFF"/>
              <w:tabs>
                <w:tab w:val="left" w:pos="612"/>
              </w:tabs>
              <w:spacing w:before="120" w:after="120"/>
              <w:rPr>
                <w:iCs/>
                <w:sz w:val="20"/>
                <w:szCs w:val="20"/>
                <w:lang w:eastAsia="ru-RU"/>
              </w:rPr>
            </w:pPr>
            <w:r>
              <w:rPr>
                <w:iCs/>
                <w:sz w:val="20"/>
                <w:szCs w:val="20"/>
                <w:lang w:eastAsia="ru-RU"/>
              </w:rPr>
              <w:t>Formulsrul standard al Documentul Unic de Achiziții European</w:t>
            </w:r>
          </w:p>
        </w:tc>
        <w:tc>
          <w:tcPr>
            <w:tcW w:w="3657" w:type="dxa"/>
            <w:tcBorders>
              <w:top w:val="single" w:color="auto" w:sz="4" w:space="0"/>
              <w:left w:val="single" w:color="auto" w:sz="4" w:space="0"/>
              <w:bottom w:val="single" w:color="auto" w:sz="4" w:space="0"/>
              <w:right w:val="single" w:color="auto" w:sz="4" w:space="0"/>
            </w:tcBorders>
          </w:tcPr>
          <w:p w14:paraId="0A7EE00F">
            <w:pPr>
              <w:shd w:val="clear" w:color="auto" w:fill="FFFFFF"/>
              <w:tabs>
                <w:tab w:val="left" w:pos="612"/>
              </w:tabs>
              <w:spacing w:before="120" w:after="120"/>
              <w:rPr>
                <w:iCs/>
                <w:sz w:val="20"/>
                <w:szCs w:val="20"/>
                <w:lang w:eastAsia="ru-RU"/>
              </w:rPr>
            </w:pPr>
            <w:r>
              <w:rPr>
                <w:iCs/>
                <w:sz w:val="20"/>
                <w:szCs w:val="20"/>
                <w:lang w:eastAsia="ru-RU"/>
              </w:rPr>
              <w:t>DUAE, conform formularului aprobat prin Ordinul Ministerului de finanțe  nr.72 din 11.06.2020,prezentzrea oricărui alt formular DUAE, este temei de descalificare de la procedura de achiziție publică</w:t>
            </w:r>
          </w:p>
        </w:tc>
        <w:tc>
          <w:tcPr>
            <w:tcW w:w="1536" w:type="dxa"/>
            <w:tcBorders>
              <w:top w:val="single" w:color="auto" w:sz="4" w:space="0"/>
              <w:left w:val="single" w:color="auto" w:sz="4" w:space="0"/>
              <w:bottom w:val="single" w:color="auto" w:sz="4" w:space="0"/>
              <w:right w:val="single" w:color="auto" w:sz="4" w:space="0"/>
            </w:tcBorders>
          </w:tcPr>
          <w:p w14:paraId="40665F5D">
            <w:pPr>
              <w:shd w:val="clear" w:color="auto" w:fill="FFFFFF"/>
              <w:tabs>
                <w:tab w:val="left" w:pos="612"/>
              </w:tabs>
              <w:spacing w:before="120" w:after="120"/>
              <w:rPr>
                <w:iCs/>
                <w:lang w:val="en-US" w:eastAsia="ru-RU"/>
              </w:rPr>
            </w:pPr>
            <w:r>
              <w:rPr>
                <w:iCs/>
                <w:lang w:val="en-US" w:eastAsia="ru-RU"/>
              </w:rPr>
              <w:t>Obligatoriu</w:t>
            </w:r>
          </w:p>
        </w:tc>
      </w:tr>
      <w:tr w14:paraId="1D67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72E04BCE">
            <w:pPr>
              <w:shd w:val="clear" w:color="auto" w:fill="FFFFFF"/>
              <w:tabs>
                <w:tab w:val="left" w:pos="612"/>
              </w:tabs>
              <w:spacing w:before="120" w:after="120"/>
              <w:rPr>
                <w:iCs/>
                <w:lang w:val="en-US" w:eastAsia="ru-RU"/>
              </w:rPr>
            </w:pPr>
            <w:r>
              <w:rPr>
                <w:iCs/>
                <w:lang w:val="en-US" w:eastAsia="ru-RU"/>
              </w:rPr>
              <w:t>16.4</w:t>
            </w:r>
          </w:p>
        </w:tc>
        <w:tc>
          <w:tcPr>
            <w:tcW w:w="7021" w:type="dxa"/>
            <w:gridSpan w:val="2"/>
            <w:tcBorders>
              <w:top w:val="single" w:color="auto" w:sz="4" w:space="0"/>
              <w:left w:val="single" w:color="auto" w:sz="4" w:space="0"/>
              <w:bottom w:val="single" w:color="auto" w:sz="4" w:space="0"/>
              <w:right w:val="single" w:color="auto" w:sz="4" w:space="0"/>
            </w:tcBorders>
          </w:tcPr>
          <w:p w14:paraId="21C903E4">
            <w:pPr>
              <w:shd w:val="clear" w:color="auto" w:fill="FFFFFF"/>
              <w:tabs>
                <w:tab w:val="left" w:pos="612"/>
              </w:tabs>
              <w:spacing w:before="120" w:after="120"/>
              <w:rPr>
                <w:b/>
                <w:iCs/>
                <w:sz w:val="22"/>
                <w:szCs w:val="22"/>
                <w:lang w:eastAsia="ru-RU"/>
              </w:rPr>
            </w:pPr>
            <w:r>
              <w:rPr>
                <w:b/>
                <w:iCs/>
                <w:sz w:val="22"/>
                <w:szCs w:val="22"/>
                <w:lang w:eastAsia="ru-RU"/>
              </w:rPr>
              <w:t>Alte documente obigatorii</w:t>
            </w:r>
          </w:p>
        </w:tc>
        <w:tc>
          <w:tcPr>
            <w:tcW w:w="1536" w:type="dxa"/>
            <w:tcBorders>
              <w:top w:val="single" w:color="auto" w:sz="4" w:space="0"/>
              <w:left w:val="single" w:color="auto" w:sz="4" w:space="0"/>
              <w:bottom w:val="single" w:color="auto" w:sz="4" w:space="0"/>
              <w:right w:val="single" w:color="auto" w:sz="4" w:space="0"/>
            </w:tcBorders>
          </w:tcPr>
          <w:p w14:paraId="37A70497">
            <w:pPr>
              <w:shd w:val="clear" w:color="auto" w:fill="FFFFFF"/>
              <w:tabs>
                <w:tab w:val="left" w:pos="612"/>
              </w:tabs>
              <w:spacing w:before="120" w:after="120"/>
              <w:rPr>
                <w:iCs/>
                <w:lang w:val="en-US" w:eastAsia="ru-RU"/>
              </w:rPr>
            </w:pPr>
          </w:p>
        </w:tc>
      </w:tr>
      <w:tr w14:paraId="707F7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36541ED0">
            <w:pPr>
              <w:shd w:val="clear" w:color="auto" w:fill="FFFFFF"/>
              <w:tabs>
                <w:tab w:val="left" w:pos="612"/>
              </w:tabs>
              <w:spacing w:before="120" w:after="120"/>
              <w:rPr>
                <w:iCs/>
                <w:lang w:val="en-US" w:eastAsia="ru-RU"/>
              </w:rPr>
            </w:pPr>
            <w:r>
              <w:rPr>
                <w:iCs/>
                <w:lang w:val="en-US" w:eastAsia="ru-RU"/>
              </w:rPr>
              <w:t>16.4,1</w:t>
            </w:r>
          </w:p>
        </w:tc>
        <w:tc>
          <w:tcPr>
            <w:tcW w:w="3364" w:type="dxa"/>
            <w:tcBorders>
              <w:top w:val="single" w:color="auto" w:sz="4" w:space="0"/>
              <w:left w:val="single" w:color="auto" w:sz="4" w:space="0"/>
              <w:bottom w:val="single" w:color="auto" w:sz="4" w:space="0"/>
              <w:right w:val="single" w:color="auto" w:sz="4" w:space="0"/>
            </w:tcBorders>
          </w:tcPr>
          <w:p w14:paraId="542EDF7D">
            <w:pPr>
              <w:shd w:val="clear" w:color="auto" w:fill="FFFFFF"/>
              <w:tabs>
                <w:tab w:val="left" w:pos="612"/>
              </w:tabs>
              <w:spacing w:before="120" w:after="120"/>
              <w:rPr>
                <w:iCs/>
                <w:sz w:val="18"/>
                <w:szCs w:val="18"/>
                <w:lang w:eastAsia="ru-RU"/>
              </w:rPr>
            </w:pPr>
            <w:r>
              <w:rPr>
                <w:iCs/>
                <w:sz w:val="18"/>
                <w:szCs w:val="18"/>
                <w:lang w:eastAsia="ru-RU"/>
              </w:rPr>
              <w:t>Certificatul/decizie de înregistrare a întreprinderii</w:t>
            </w:r>
          </w:p>
        </w:tc>
        <w:tc>
          <w:tcPr>
            <w:tcW w:w="3657" w:type="dxa"/>
            <w:tcBorders>
              <w:top w:val="single" w:color="auto" w:sz="4" w:space="0"/>
              <w:left w:val="single" w:color="auto" w:sz="4" w:space="0"/>
              <w:bottom w:val="single" w:color="auto" w:sz="4" w:space="0"/>
              <w:right w:val="single" w:color="auto" w:sz="4" w:space="0"/>
            </w:tcBorders>
          </w:tcPr>
          <w:p w14:paraId="254094A8">
            <w:pPr>
              <w:shd w:val="clear" w:color="auto" w:fill="FFFFFF"/>
              <w:tabs>
                <w:tab w:val="left" w:pos="612"/>
              </w:tabs>
              <w:spacing w:before="120" w:after="120"/>
              <w:rPr>
                <w:iCs/>
                <w:sz w:val="18"/>
                <w:szCs w:val="18"/>
                <w:lang w:eastAsia="ru-RU"/>
              </w:rPr>
            </w:pPr>
            <w:r>
              <w:rPr>
                <w:iCs/>
                <w:sz w:val="18"/>
                <w:szCs w:val="18"/>
                <w:lang w:eastAsia="ru-RU"/>
              </w:rPr>
              <w:t>Certificatul/decizie de înregistrare a întreprinderii</w:t>
            </w:r>
          </w:p>
        </w:tc>
        <w:tc>
          <w:tcPr>
            <w:tcW w:w="1536" w:type="dxa"/>
            <w:tcBorders>
              <w:top w:val="single" w:color="auto" w:sz="4" w:space="0"/>
              <w:left w:val="single" w:color="auto" w:sz="4" w:space="0"/>
              <w:bottom w:val="single" w:color="auto" w:sz="4" w:space="0"/>
              <w:right w:val="single" w:color="auto" w:sz="4" w:space="0"/>
            </w:tcBorders>
          </w:tcPr>
          <w:p w14:paraId="3993A721">
            <w:pPr>
              <w:shd w:val="clear" w:color="auto" w:fill="FFFFFF"/>
              <w:tabs>
                <w:tab w:val="left" w:pos="612"/>
              </w:tabs>
              <w:spacing w:before="120" w:after="120"/>
              <w:rPr>
                <w:iCs/>
                <w:lang w:val="en-US" w:eastAsia="ru-RU"/>
              </w:rPr>
            </w:pPr>
            <w:r>
              <w:rPr>
                <w:iCs/>
                <w:lang w:val="en-US" w:eastAsia="ru-RU"/>
              </w:rPr>
              <w:t>Obligatoriu</w:t>
            </w:r>
          </w:p>
        </w:tc>
      </w:tr>
      <w:tr w14:paraId="244D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65D32B1E">
            <w:pPr>
              <w:shd w:val="clear" w:color="auto" w:fill="FFFFFF"/>
              <w:tabs>
                <w:tab w:val="left" w:pos="612"/>
              </w:tabs>
              <w:spacing w:before="120" w:after="120"/>
              <w:rPr>
                <w:iCs/>
                <w:lang w:val="en-US" w:eastAsia="ru-RU"/>
              </w:rPr>
            </w:pPr>
            <w:r>
              <w:rPr>
                <w:iCs/>
                <w:lang w:val="en-US" w:eastAsia="ru-RU"/>
              </w:rPr>
              <w:t>16.4.2</w:t>
            </w:r>
          </w:p>
        </w:tc>
        <w:tc>
          <w:tcPr>
            <w:tcW w:w="3364" w:type="dxa"/>
            <w:tcBorders>
              <w:top w:val="single" w:color="auto" w:sz="4" w:space="0"/>
              <w:left w:val="single" w:color="auto" w:sz="4" w:space="0"/>
              <w:bottom w:val="single" w:color="auto" w:sz="4" w:space="0"/>
              <w:right w:val="single" w:color="auto" w:sz="4" w:space="0"/>
            </w:tcBorders>
          </w:tcPr>
          <w:p w14:paraId="7129F93C">
            <w:pPr>
              <w:shd w:val="clear" w:color="auto" w:fill="FFFFFF"/>
              <w:tabs>
                <w:tab w:val="left" w:pos="612"/>
              </w:tabs>
              <w:spacing w:before="120" w:after="120"/>
              <w:rPr>
                <w:iCs/>
                <w:sz w:val="18"/>
                <w:szCs w:val="18"/>
                <w:lang w:eastAsia="ru-RU"/>
              </w:rPr>
            </w:pPr>
            <w:r>
              <w:rPr>
                <w:iCs/>
                <w:sz w:val="18"/>
                <w:szCs w:val="18"/>
                <w:lang w:eastAsia="ru-RU"/>
              </w:rPr>
              <w:t>Extras din Registrul de Stat al personelor juridice</w:t>
            </w:r>
          </w:p>
        </w:tc>
        <w:tc>
          <w:tcPr>
            <w:tcW w:w="3657" w:type="dxa"/>
            <w:tcBorders>
              <w:top w:val="single" w:color="auto" w:sz="4" w:space="0"/>
              <w:left w:val="single" w:color="auto" w:sz="4" w:space="0"/>
              <w:bottom w:val="single" w:color="auto" w:sz="4" w:space="0"/>
              <w:right w:val="single" w:color="auto" w:sz="4" w:space="0"/>
            </w:tcBorders>
          </w:tcPr>
          <w:p w14:paraId="724B5CBE">
            <w:pPr>
              <w:shd w:val="clear" w:color="auto" w:fill="FFFFFF"/>
              <w:tabs>
                <w:tab w:val="left" w:pos="612"/>
              </w:tabs>
              <w:spacing w:before="120" w:after="120"/>
              <w:rPr>
                <w:iCs/>
                <w:sz w:val="18"/>
                <w:szCs w:val="18"/>
                <w:lang w:eastAsia="ru-RU"/>
              </w:rPr>
            </w:pPr>
            <w:r>
              <w:rPr>
                <w:iCs/>
                <w:sz w:val="18"/>
                <w:szCs w:val="18"/>
                <w:lang w:eastAsia="ru-RU"/>
              </w:rPr>
              <w:t>Extras din Registrul de Stat al personelor juridice, confirmat prin semnătura electronica a ofertantului</w:t>
            </w:r>
          </w:p>
        </w:tc>
        <w:tc>
          <w:tcPr>
            <w:tcW w:w="1536" w:type="dxa"/>
            <w:tcBorders>
              <w:top w:val="single" w:color="auto" w:sz="4" w:space="0"/>
              <w:left w:val="single" w:color="auto" w:sz="4" w:space="0"/>
              <w:bottom w:val="single" w:color="auto" w:sz="4" w:space="0"/>
              <w:right w:val="single" w:color="auto" w:sz="4" w:space="0"/>
            </w:tcBorders>
          </w:tcPr>
          <w:p w14:paraId="5031DF3B">
            <w:pPr>
              <w:shd w:val="clear" w:color="auto" w:fill="FFFFFF"/>
              <w:tabs>
                <w:tab w:val="left" w:pos="612"/>
              </w:tabs>
              <w:spacing w:before="120" w:after="120"/>
              <w:rPr>
                <w:iCs/>
                <w:lang w:val="en-US" w:eastAsia="ru-RU"/>
              </w:rPr>
            </w:pPr>
            <w:r>
              <w:rPr>
                <w:iCs/>
                <w:lang w:val="en-US" w:eastAsia="ru-RU"/>
              </w:rPr>
              <w:t>Obligatoriu</w:t>
            </w:r>
          </w:p>
        </w:tc>
      </w:tr>
      <w:tr w14:paraId="2BFD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55852208">
            <w:pPr>
              <w:shd w:val="clear" w:color="auto" w:fill="FFFFFF"/>
              <w:tabs>
                <w:tab w:val="left" w:pos="612"/>
              </w:tabs>
              <w:spacing w:before="120" w:after="120"/>
              <w:rPr>
                <w:iCs/>
                <w:lang w:val="en-US" w:eastAsia="ru-RU"/>
              </w:rPr>
            </w:pPr>
            <w:r>
              <w:rPr>
                <w:iCs/>
                <w:lang w:val="en-US" w:eastAsia="ru-RU"/>
              </w:rPr>
              <w:t>16.4.3</w:t>
            </w:r>
          </w:p>
        </w:tc>
        <w:tc>
          <w:tcPr>
            <w:tcW w:w="3364" w:type="dxa"/>
            <w:tcBorders>
              <w:top w:val="single" w:color="auto" w:sz="4" w:space="0"/>
              <w:left w:val="single" w:color="auto" w:sz="4" w:space="0"/>
              <w:bottom w:val="single" w:color="auto" w:sz="4" w:space="0"/>
              <w:right w:val="single" w:color="auto" w:sz="4" w:space="0"/>
            </w:tcBorders>
          </w:tcPr>
          <w:p w14:paraId="6F775F66">
            <w:pPr>
              <w:shd w:val="clear" w:color="auto" w:fill="FFFFFF"/>
              <w:tabs>
                <w:tab w:val="left" w:pos="612"/>
              </w:tabs>
              <w:spacing w:before="120" w:after="120"/>
              <w:rPr>
                <w:iCs/>
                <w:sz w:val="18"/>
                <w:szCs w:val="18"/>
                <w:lang w:eastAsia="ru-RU"/>
              </w:rPr>
            </w:pPr>
            <w:r>
              <w:rPr>
                <w:iCs/>
                <w:sz w:val="18"/>
                <w:szCs w:val="18"/>
                <w:lang w:eastAsia="ru-RU"/>
              </w:rPr>
              <w:t>Certificat privind lipsa sau existența restanțelor la bugetul public national, eliberat de către Serviciul Fiscal de Stat</w:t>
            </w:r>
          </w:p>
        </w:tc>
        <w:tc>
          <w:tcPr>
            <w:tcW w:w="3657" w:type="dxa"/>
            <w:tcBorders>
              <w:top w:val="single" w:color="auto" w:sz="4" w:space="0"/>
              <w:left w:val="single" w:color="auto" w:sz="4" w:space="0"/>
              <w:bottom w:val="single" w:color="auto" w:sz="4" w:space="0"/>
              <w:right w:val="single" w:color="auto" w:sz="4" w:space="0"/>
            </w:tcBorders>
          </w:tcPr>
          <w:p w14:paraId="5193CBBB">
            <w:pPr>
              <w:shd w:val="clear" w:color="auto" w:fill="FFFFFF"/>
              <w:tabs>
                <w:tab w:val="left" w:pos="612"/>
              </w:tabs>
              <w:spacing w:before="120" w:after="120"/>
              <w:rPr>
                <w:iCs/>
                <w:sz w:val="18"/>
                <w:szCs w:val="18"/>
                <w:lang w:eastAsia="ru-RU"/>
              </w:rPr>
            </w:pPr>
            <w:r>
              <w:rPr>
                <w:iCs/>
                <w:sz w:val="18"/>
                <w:szCs w:val="18"/>
                <w:lang w:eastAsia="ru-RU"/>
              </w:rPr>
              <w:t>Certficatul valabil la ziua desfașurării concursului</w:t>
            </w:r>
          </w:p>
        </w:tc>
        <w:tc>
          <w:tcPr>
            <w:tcW w:w="1536" w:type="dxa"/>
            <w:tcBorders>
              <w:top w:val="single" w:color="auto" w:sz="4" w:space="0"/>
              <w:left w:val="single" w:color="auto" w:sz="4" w:space="0"/>
              <w:bottom w:val="single" w:color="auto" w:sz="4" w:space="0"/>
              <w:right w:val="single" w:color="auto" w:sz="4" w:space="0"/>
            </w:tcBorders>
          </w:tcPr>
          <w:p w14:paraId="2DFBB28E">
            <w:pPr>
              <w:shd w:val="clear" w:color="auto" w:fill="FFFFFF"/>
              <w:tabs>
                <w:tab w:val="left" w:pos="612"/>
              </w:tabs>
              <w:spacing w:before="120" w:after="120"/>
              <w:rPr>
                <w:iCs/>
                <w:lang w:val="en-US" w:eastAsia="ru-RU"/>
              </w:rPr>
            </w:pPr>
            <w:r>
              <w:rPr>
                <w:iCs/>
                <w:lang w:val="en-US" w:eastAsia="ru-RU"/>
              </w:rPr>
              <w:t>Obligatoriu</w:t>
            </w:r>
          </w:p>
        </w:tc>
      </w:tr>
      <w:tr w14:paraId="73E3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40F39778">
            <w:pPr>
              <w:shd w:val="clear" w:color="auto" w:fill="FFFFFF"/>
              <w:tabs>
                <w:tab w:val="left" w:pos="612"/>
              </w:tabs>
              <w:spacing w:before="120" w:after="120"/>
              <w:rPr>
                <w:iCs/>
                <w:lang w:val="en-US" w:eastAsia="ru-RU"/>
              </w:rPr>
            </w:pPr>
            <w:r>
              <w:rPr>
                <w:iCs/>
                <w:lang w:val="en-US" w:eastAsia="ru-RU"/>
              </w:rPr>
              <w:t>16.4.4</w:t>
            </w:r>
          </w:p>
          <w:p w14:paraId="5C06BAFF">
            <w:pPr>
              <w:shd w:val="clear" w:color="auto" w:fill="FFFFFF"/>
              <w:tabs>
                <w:tab w:val="left" w:pos="612"/>
              </w:tabs>
              <w:spacing w:before="120" w:after="120"/>
              <w:rPr>
                <w:iCs/>
                <w:lang w:val="en-US" w:eastAsia="ru-RU"/>
              </w:rPr>
            </w:pPr>
          </w:p>
        </w:tc>
        <w:tc>
          <w:tcPr>
            <w:tcW w:w="3364" w:type="dxa"/>
            <w:tcBorders>
              <w:top w:val="single" w:color="auto" w:sz="4" w:space="0"/>
              <w:left w:val="single" w:color="auto" w:sz="4" w:space="0"/>
              <w:bottom w:val="single" w:color="auto" w:sz="4" w:space="0"/>
              <w:right w:val="single" w:color="auto" w:sz="4" w:space="0"/>
            </w:tcBorders>
          </w:tcPr>
          <w:p w14:paraId="0940B1C4">
            <w:pPr>
              <w:shd w:val="clear" w:color="auto" w:fill="FFFFFF"/>
              <w:tabs>
                <w:tab w:val="left" w:pos="612"/>
              </w:tabs>
              <w:spacing w:before="120" w:after="120"/>
              <w:rPr>
                <w:iCs/>
                <w:sz w:val="18"/>
                <w:szCs w:val="18"/>
                <w:lang w:eastAsia="ru-RU"/>
              </w:rPr>
            </w:pPr>
            <w:r>
              <w:rPr>
                <w:iCs/>
                <w:sz w:val="18"/>
                <w:szCs w:val="18"/>
                <w:lang w:eastAsia="ru-RU"/>
              </w:rPr>
              <w:t>Declarație privind lista principalelor prestări efrctuate timp de 3 ani de experiență specific în prestarea serviciilor similar.</w:t>
            </w:r>
          </w:p>
        </w:tc>
        <w:tc>
          <w:tcPr>
            <w:tcW w:w="3657" w:type="dxa"/>
            <w:tcBorders>
              <w:top w:val="single" w:color="auto" w:sz="4" w:space="0"/>
              <w:left w:val="single" w:color="auto" w:sz="4" w:space="0"/>
              <w:bottom w:val="single" w:color="auto" w:sz="4" w:space="0"/>
              <w:right w:val="single" w:color="auto" w:sz="4" w:space="0"/>
            </w:tcBorders>
          </w:tcPr>
          <w:p w14:paraId="11F0599D">
            <w:pPr>
              <w:shd w:val="clear" w:color="auto" w:fill="FFFFFF"/>
              <w:tabs>
                <w:tab w:val="left" w:pos="612"/>
              </w:tabs>
              <w:spacing w:before="120" w:after="120"/>
              <w:rPr>
                <w:iCs/>
                <w:sz w:val="18"/>
                <w:szCs w:val="18"/>
                <w:lang w:eastAsia="ru-RU"/>
              </w:rPr>
            </w:pPr>
            <w:r>
              <w:rPr>
                <w:iCs/>
                <w:sz w:val="18"/>
                <w:szCs w:val="18"/>
                <w:lang w:eastAsia="ru-RU"/>
              </w:rPr>
              <w:t>Conform Documentației standard bunuri si sevicii</w:t>
            </w:r>
          </w:p>
          <w:p w14:paraId="4CAA925C">
            <w:pPr>
              <w:shd w:val="clear" w:color="auto" w:fill="FFFFFF"/>
              <w:tabs>
                <w:tab w:val="left" w:pos="612"/>
              </w:tabs>
              <w:spacing w:before="120" w:after="120"/>
              <w:rPr>
                <w:iCs/>
                <w:sz w:val="18"/>
                <w:szCs w:val="18"/>
                <w:lang w:eastAsia="ru-RU"/>
              </w:rPr>
            </w:pPr>
            <w:r>
              <w:rPr>
                <w:iCs/>
                <w:sz w:val="18"/>
                <w:szCs w:val="18"/>
                <w:lang w:eastAsia="ru-RU"/>
              </w:rPr>
              <w:t>(anexa nr.12)</w:t>
            </w:r>
          </w:p>
        </w:tc>
        <w:tc>
          <w:tcPr>
            <w:tcW w:w="1536" w:type="dxa"/>
            <w:tcBorders>
              <w:top w:val="single" w:color="auto" w:sz="4" w:space="0"/>
              <w:left w:val="single" w:color="auto" w:sz="4" w:space="0"/>
              <w:bottom w:val="single" w:color="auto" w:sz="4" w:space="0"/>
              <w:right w:val="single" w:color="auto" w:sz="4" w:space="0"/>
            </w:tcBorders>
          </w:tcPr>
          <w:p w14:paraId="46BDA159">
            <w:pPr>
              <w:shd w:val="clear" w:color="auto" w:fill="FFFFFF"/>
              <w:tabs>
                <w:tab w:val="left" w:pos="612"/>
              </w:tabs>
              <w:spacing w:before="120" w:after="120"/>
              <w:rPr>
                <w:iCs/>
                <w:lang w:val="en-US" w:eastAsia="ru-RU"/>
              </w:rPr>
            </w:pPr>
            <w:r>
              <w:rPr>
                <w:iCs/>
                <w:lang w:val="en-US" w:eastAsia="ru-RU"/>
              </w:rPr>
              <w:t>Obligatoriu</w:t>
            </w:r>
          </w:p>
        </w:tc>
      </w:tr>
      <w:tr w14:paraId="7E48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7FED48DC">
            <w:pPr>
              <w:shd w:val="clear" w:color="auto" w:fill="FFFFFF"/>
              <w:tabs>
                <w:tab w:val="left" w:pos="612"/>
              </w:tabs>
              <w:spacing w:before="120" w:after="120"/>
              <w:rPr>
                <w:iCs/>
                <w:lang w:val="en-US" w:eastAsia="ru-RU"/>
              </w:rPr>
            </w:pPr>
            <w:r>
              <w:rPr>
                <w:iCs/>
                <w:lang w:val="en-US" w:eastAsia="ru-RU"/>
              </w:rPr>
              <w:t>16.4.5</w:t>
            </w:r>
          </w:p>
        </w:tc>
        <w:tc>
          <w:tcPr>
            <w:tcW w:w="3364" w:type="dxa"/>
            <w:tcBorders>
              <w:top w:val="single" w:color="auto" w:sz="4" w:space="0"/>
              <w:left w:val="single" w:color="auto" w:sz="4" w:space="0"/>
              <w:bottom w:val="single" w:color="auto" w:sz="4" w:space="0"/>
              <w:right w:val="single" w:color="auto" w:sz="4" w:space="0"/>
            </w:tcBorders>
          </w:tcPr>
          <w:p w14:paraId="4D1125D1">
            <w:pPr>
              <w:shd w:val="clear" w:color="auto" w:fill="FFFFFF"/>
              <w:tabs>
                <w:tab w:val="left" w:pos="612"/>
              </w:tabs>
              <w:spacing w:before="120" w:after="120"/>
              <w:rPr>
                <w:iCs/>
                <w:sz w:val="18"/>
                <w:szCs w:val="18"/>
                <w:lang w:eastAsia="ru-RU"/>
              </w:rPr>
            </w:pPr>
          </w:p>
          <w:p w14:paraId="25E4B38B">
            <w:pPr>
              <w:shd w:val="clear" w:color="auto" w:fill="FFFFFF"/>
              <w:tabs>
                <w:tab w:val="left" w:pos="612"/>
              </w:tabs>
              <w:spacing w:before="120" w:after="120"/>
              <w:rPr>
                <w:iCs/>
                <w:sz w:val="18"/>
                <w:szCs w:val="18"/>
                <w:lang w:eastAsia="ru-RU"/>
              </w:rPr>
            </w:pPr>
            <w:r>
              <w:rPr>
                <w:iCs/>
                <w:sz w:val="18"/>
                <w:szCs w:val="18"/>
                <w:lang w:eastAsia="ru-RU"/>
              </w:rPr>
              <w:t>Autorizația sanitară de funcționare</w:t>
            </w:r>
          </w:p>
        </w:tc>
        <w:tc>
          <w:tcPr>
            <w:tcW w:w="3657" w:type="dxa"/>
            <w:tcBorders>
              <w:top w:val="single" w:color="auto" w:sz="4" w:space="0"/>
              <w:left w:val="single" w:color="auto" w:sz="4" w:space="0"/>
              <w:bottom w:val="single" w:color="auto" w:sz="4" w:space="0"/>
              <w:right w:val="single" w:color="auto" w:sz="4" w:space="0"/>
            </w:tcBorders>
          </w:tcPr>
          <w:p w14:paraId="51C8B58F">
            <w:pPr>
              <w:shd w:val="clear" w:color="auto" w:fill="FFFFFF"/>
              <w:tabs>
                <w:tab w:val="left" w:pos="612"/>
              </w:tabs>
              <w:spacing w:before="120" w:after="120"/>
              <w:rPr>
                <w:iCs/>
                <w:sz w:val="18"/>
                <w:szCs w:val="18"/>
                <w:lang w:eastAsia="ru-RU"/>
              </w:rPr>
            </w:pPr>
            <w:r>
              <w:rPr>
                <w:iCs/>
                <w:sz w:val="18"/>
                <w:szCs w:val="18"/>
                <w:lang w:eastAsia="ru-RU"/>
              </w:rPr>
              <w:t>Autorizația sanitară de funcționare, confirmată prin semnătura electronica ofertantului emis de Agenția Națională pentru Sănătate Publică, cu valabilitatea nu mai mic decât termenul prestării serviciului in conformitate cu Legea 10/2009 art.23</w:t>
            </w:r>
            <w:r>
              <w:rPr>
                <w:iCs/>
                <w:sz w:val="18"/>
                <w:szCs w:val="18"/>
                <w:vertAlign w:val="superscript"/>
                <w:lang w:eastAsia="ru-RU"/>
              </w:rPr>
              <w:t>2</w:t>
            </w:r>
            <w:r>
              <w:rPr>
                <w:iCs/>
                <w:sz w:val="18"/>
                <w:szCs w:val="18"/>
                <w:lang w:eastAsia="ru-RU"/>
              </w:rPr>
              <w:t>(4)</w:t>
            </w:r>
          </w:p>
        </w:tc>
        <w:tc>
          <w:tcPr>
            <w:tcW w:w="1536" w:type="dxa"/>
            <w:tcBorders>
              <w:top w:val="single" w:color="auto" w:sz="4" w:space="0"/>
              <w:left w:val="single" w:color="auto" w:sz="4" w:space="0"/>
              <w:bottom w:val="single" w:color="auto" w:sz="4" w:space="0"/>
              <w:right w:val="single" w:color="auto" w:sz="4" w:space="0"/>
            </w:tcBorders>
          </w:tcPr>
          <w:p w14:paraId="1BEA1587">
            <w:pPr>
              <w:shd w:val="clear" w:color="auto" w:fill="FFFFFF"/>
              <w:tabs>
                <w:tab w:val="left" w:pos="612"/>
              </w:tabs>
              <w:spacing w:before="120" w:after="120"/>
              <w:rPr>
                <w:iCs/>
                <w:lang w:val="en-US" w:eastAsia="ru-RU"/>
              </w:rPr>
            </w:pPr>
            <w:r>
              <w:rPr>
                <w:iCs/>
                <w:lang w:val="en-US" w:eastAsia="ru-RU"/>
              </w:rPr>
              <w:t>Obligatoriu</w:t>
            </w:r>
          </w:p>
        </w:tc>
      </w:tr>
      <w:tr w14:paraId="54D7E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448AE6E3">
            <w:pPr>
              <w:shd w:val="clear" w:color="auto" w:fill="FFFFFF"/>
              <w:tabs>
                <w:tab w:val="left" w:pos="612"/>
              </w:tabs>
              <w:spacing w:before="120" w:after="120"/>
              <w:rPr>
                <w:iCs/>
                <w:lang w:val="en-US" w:eastAsia="ru-RU"/>
              </w:rPr>
            </w:pPr>
            <w:r>
              <w:rPr>
                <w:iCs/>
                <w:lang w:val="en-US" w:eastAsia="ru-RU"/>
              </w:rPr>
              <w:t>16.4.6</w:t>
            </w:r>
          </w:p>
        </w:tc>
        <w:tc>
          <w:tcPr>
            <w:tcW w:w="3364" w:type="dxa"/>
            <w:tcBorders>
              <w:top w:val="single" w:color="auto" w:sz="4" w:space="0"/>
              <w:left w:val="single" w:color="auto" w:sz="4" w:space="0"/>
              <w:bottom w:val="single" w:color="auto" w:sz="4" w:space="0"/>
              <w:right w:val="single" w:color="auto" w:sz="4" w:space="0"/>
            </w:tcBorders>
          </w:tcPr>
          <w:p w14:paraId="1FC87A18">
            <w:pPr>
              <w:shd w:val="clear" w:color="auto" w:fill="FFFFFF"/>
              <w:tabs>
                <w:tab w:val="left" w:pos="612"/>
              </w:tabs>
              <w:spacing w:before="120" w:after="120"/>
              <w:rPr>
                <w:iCs/>
                <w:sz w:val="18"/>
                <w:szCs w:val="18"/>
                <w:lang w:eastAsia="ru-RU"/>
              </w:rPr>
            </w:pPr>
            <w:r>
              <w:rPr>
                <w:iCs/>
                <w:sz w:val="18"/>
                <w:szCs w:val="18"/>
                <w:lang w:eastAsia="ru-RU"/>
              </w:rPr>
              <w:t>Actul final de pregatire a tab</w:t>
            </w:r>
            <w:bookmarkStart w:id="116" w:name="_GoBack"/>
            <w:bookmarkEnd w:id="116"/>
            <w:r>
              <w:rPr>
                <w:iCs/>
                <w:sz w:val="18"/>
                <w:szCs w:val="18"/>
                <w:lang w:eastAsia="ru-RU"/>
              </w:rPr>
              <w:t>erei</w:t>
            </w:r>
          </w:p>
        </w:tc>
        <w:tc>
          <w:tcPr>
            <w:tcW w:w="3657" w:type="dxa"/>
            <w:tcBorders>
              <w:top w:val="single" w:color="auto" w:sz="4" w:space="0"/>
              <w:left w:val="single" w:color="auto" w:sz="4" w:space="0"/>
              <w:bottom w:val="single" w:color="auto" w:sz="4" w:space="0"/>
              <w:right w:val="single" w:color="auto" w:sz="4" w:space="0"/>
            </w:tcBorders>
          </w:tcPr>
          <w:p w14:paraId="6900A636">
            <w:pPr>
              <w:shd w:val="clear" w:color="auto" w:fill="FFFFFF"/>
              <w:tabs>
                <w:tab w:val="left" w:pos="612"/>
              </w:tabs>
              <w:spacing w:before="120" w:after="120"/>
              <w:rPr>
                <w:iCs/>
                <w:sz w:val="18"/>
                <w:szCs w:val="18"/>
                <w:lang w:eastAsia="ru-RU"/>
              </w:rPr>
            </w:pPr>
            <w:r>
              <w:rPr>
                <w:iCs/>
                <w:sz w:val="18"/>
                <w:szCs w:val="18"/>
                <w:lang w:eastAsia="ru-RU"/>
              </w:rPr>
              <w:t>Actul final de pregatire a taberei semnat de catre membrii comisiei raionale pentru organizarea odihnei de vara sezonul estival 202</w:t>
            </w:r>
            <w:r>
              <w:rPr>
                <w:rFonts w:hint="default"/>
                <w:iCs/>
                <w:sz w:val="18"/>
                <w:szCs w:val="18"/>
                <w:lang w:val="en-US" w:eastAsia="ru-RU"/>
              </w:rPr>
              <w:t>6</w:t>
            </w:r>
            <w:r>
              <w:rPr>
                <w:iCs/>
                <w:sz w:val="18"/>
                <w:szCs w:val="18"/>
                <w:lang w:eastAsia="ru-RU"/>
              </w:rPr>
              <w:t>.</w:t>
            </w:r>
          </w:p>
        </w:tc>
        <w:tc>
          <w:tcPr>
            <w:tcW w:w="1536" w:type="dxa"/>
            <w:tcBorders>
              <w:top w:val="single" w:color="auto" w:sz="4" w:space="0"/>
              <w:left w:val="single" w:color="auto" w:sz="4" w:space="0"/>
              <w:bottom w:val="single" w:color="auto" w:sz="4" w:space="0"/>
              <w:right w:val="single" w:color="auto" w:sz="4" w:space="0"/>
            </w:tcBorders>
          </w:tcPr>
          <w:p w14:paraId="58F547FF">
            <w:pPr>
              <w:shd w:val="clear" w:color="auto" w:fill="FFFFFF"/>
              <w:tabs>
                <w:tab w:val="left" w:pos="612"/>
              </w:tabs>
              <w:spacing w:before="120" w:after="120"/>
              <w:rPr>
                <w:iCs/>
                <w:lang w:val="en-US" w:eastAsia="ru-RU"/>
              </w:rPr>
            </w:pPr>
            <w:r>
              <w:rPr>
                <w:iCs/>
                <w:lang w:val="en-US" w:eastAsia="ru-RU"/>
              </w:rPr>
              <w:t>Obligatoriu</w:t>
            </w:r>
          </w:p>
        </w:tc>
      </w:tr>
      <w:tr w14:paraId="1CDFF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7AE2E845">
            <w:pPr>
              <w:shd w:val="clear" w:color="auto" w:fill="FFFFFF"/>
              <w:tabs>
                <w:tab w:val="left" w:pos="612"/>
              </w:tabs>
              <w:spacing w:before="120" w:after="120"/>
              <w:rPr>
                <w:iCs/>
                <w:lang w:val="en-US" w:eastAsia="ru-RU"/>
              </w:rPr>
            </w:pPr>
          </w:p>
          <w:p w14:paraId="6DF59800">
            <w:pPr>
              <w:shd w:val="clear" w:color="auto" w:fill="FFFFFF"/>
              <w:tabs>
                <w:tab w:val="left" w:pos="612"/>
              </w:tabs>
              <w:spacing w:before="120" w:after="120"/>
              <w:rPr>
                <w:iCs/>
                <w:lang w:val="en-US" w:eastAsia="ru-RU"/>
              </w:rPr>
            </w:pPr>
            <w:r>
              <w:rPr>
                <w:iCs/>
                <w:lang w:val="en-US" w:eastAsia="ru-RU"/>
              </w:rPr>
              <w:t>16.4.7</w:t>
            </w:r>
          </w:p>
        </w:tc>
        <w:tc>
          <w:tcPr>
            <w:tcW w:w="3364" w:type="dxa"/>
            <w:tcBorders>
              <w:top w:val="single" w:color="auto" w:sz="4" w:space="0"/>
              <w:left w:val="single" w:color="auto" w:sz="4" w:space="0"/>
              <w:bottom w:val="single" w:color="auto" w:sz="4" w:space="0"/>
              <w:right w:val="single" w:color="auto" w:sz="4" w:space="0"/>
            </w:tcBorders>
          </w:tcPr>
          <w:p w14:paraId="01D51870">
            <w:pPr>
              <w:shd w:val="clear" w:color="auto" w:fill="FFFFFF"/>
              <w:tabs>
                <w:tab w:val="left" w:pos="612"/>
              </w:tabs>
              <w:spacing w:before="120" w:after="120"/>
              <w:rPr>
                <w:iCs/>
                <w:sz w:val="18"/>
                <w:szCs w:val="18"/>
                <w:lang w:eastAsia="ru-RU"/>
              </w:rPr>
            </w:pPr>
          </w:p>
          <w:p w14:paraId="67172B78">
            <w:pPr>
              <w:shd w:val="clear" w:color="auto" w:fill="FFFFFF"/>
              <w:tabs>
                <w:tab w:val="left" w:pos="612"/>
              </w:tabs>
              <w:spacing w:before="120" w:after="120"/>
              <w:rPr>
                <w:iCs/>
                <w:sz w:val="18"/>
                <w:szCs w:val="18"/>
                <w:lang w:eastAsia="ru-RU"/>
              </w:rPr>
            </w:pPr>
            <w:r>
              <w:rPr>
                <w:iCs/>
                <w:sz w:val="18"/>
                <w:szCs w:val="18"/>
                <w:lang w:eastAsia="ru-RU"/>
              </w:rPr>
              <w:t>Autorizație de funcționare pentru cantine</w:t>
            </w:r>
          </w:p>
          <w:p w14:paraId="7EEB8FEE">
            <w:pPr>
              <w:shd w:val="clear" w:color="auto" w:fill="FFFFFF"/>
              <w:tabs>
                <w:tab w:val="left" w:pos="612"/>
              </w:tabs>
              <w:spacing w:before="120" w:after="120"/>
              <w:rPr>
                <w:iCs/>
                <w:sz w:val="18"/>
                <w:szCs w:val="18"/>
                <w:lang w:eastAsia="ru-RU"/>
              </w:rPr>
            </w:pPr>
          </w:p>
          <w:p w14:paraId="2DFD9F8A">
            <w:pPr>
              <w:shd w:val="clear" w:color="auto" w:fill="FFFFFF"/>
              <w:tabs>
                <w:tab w:val="left" w:pos="612"/>
              </w:tabs>
              <w:spacing w:before="120" w:after="120"/>
              <w:rPr>
                <w:iCs/>
                <w:sz w:val="18"/>
                <w:szCs w:val="18"/>
                <w:lang w:eastAsia="ru-RU"/>
              </w:rPr>
            </w:pPr>
          </w:p>
        </w:tc>
        <w:tc>
          <w:tcPr>
            <w:tcW w:w="3657" w:type="dxa"/>
            <w:tcBorders>
              <w:top w:val="single" w:color="auto" w:sz="4" w:space="0"/>
              <w:left w:val="single" w:color="auto" w:sz="4" w:space="0"/>
              <w:bottom w:val="single" w:color="auto" w:sz="4" w:space="0"/>
              <w:right w:val="single" w:color="auto" w:sz="4" w:space="0"/>
            </w:tcBorders>
          </w:tcPr>
          <w:p w14:paraId="75DE3132">
            <w:pPr>
              <w:shd w:val="clear" w:color="auto" w:fill="FFFFFF"/>
              <w:tabs>
                <w:tab w:val="left" w:pos="612"/>
              </w:tabs>
              <w:spacing w:before="120" w:after="120"/>
              <w:rPr>
                <w:iCs/>
                <w:sz w:val="18"/>
                <w:szCs w:val="18"/>
                <w:lang w:eastAsia="ru-RU"/>
              </w:rPr>
            </w:pPr>
            <w:r>
              <w:rPr>
                <w:iCs/>
                <w:sz w:val="18"/>
                <w:szCs w:val="18"/>
                <w:lang w:eastAsia="ru-RU"/>
              </w:rPr>
              <w:t>Autorizație de funcționarea pentru cantine confirmată prin semnătura eletronică a ofertantului, emis de Agenția Națională pentru Siguranța Alimentelor, cu valabilitatea nu mai mic decât termenul prestării serviciului</w:t>
            </w:r>
          </w:p>
        </w:tc>
        <w:tc>
          <w:tcPr>
            <w:tcW w:w="1536" w:type="dxa"/>
            <w:tcBorders>
              <w:top w:val="single" w:color="auto" w:sz="4" w:space="0"/>
              <w:left w:val="single" w:color="auto" w:sz="4" w:space="0"/>
              <w:bottom w:val="single" w:color="auto" w:sz="4" w:space="0"/>
              <w:right w:val="single" w:color="auto" w:sz="4" w:space="0"/>
            </w:tcBorders>
          </w:tcPr>
          <w:p w14:paraId="6812309D">
            <w:pPr>
              <w:shd w:val="clear" w:color="auto" w:fill="FFFFFF"/>
              <w:tabs>
                <w:tab w:val="left" w:pos="612"/>
              </w:tabs>
              <w:spacing w:before="120" w:after="120"/>
              <w:rPr>
                <w:iCs/>
                <w:lang w:val="en-US" w:eastAsia="ru-RU"/>
              </w:rPr>
            </w:pPr>
            <w:r>
              <w:rPr>
                <w:iCs/>
                <w:lang w:val="en-US" w:eastAsia="ru-RU"/>
              </w:rPr>
              <w:t>Obligatoriu</w:t>
            </w:r>
          </w:p>
        </w:tc>
      </w:tr>
      <w:tr w14:paraId="2F8B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56CC3474">
            <w:pPr>
              <w:shd w:val="clear" w:color="auto" w:fill="FFFFFF"/>
              <w:tabs>
                <w:tab w:val="left" w:pos="612"/>
              </w:tabs>
              <w:spacing w:before="120" w:after="120"/>
              <w:rPr>
                <w:iCs/>
                <w:lang w:val="en-US" w:eastAsia="ru-RU"/>
              </w:rPr>
            </w:pPr>
            <w:r>
              <w:rPr>
                <w:iCs/>
                <w:lang w:val="en-US" w:eastAsia="ru-RU"/>
              </w:rPr>
              <w:t>16.4.8</w:t>
            </w:r>
          </w:p>
        </w:tc>
        <w:tc>
          <w:tcPr>
            <w:tcW w:w="3364" w:type="dxa"/>
            <w:tcBorders>
              <w:top w:val="single" w:color="auto" w:sz="4" w:space="0"/>
              <w:left w:val="single" w:color="auto" w:sz="4" w:space="0"/>
              <w:bottom w:val="single" w:color="auto" w:sz="4" w:space="0"/>
              <w:right w:val="single" w:color="auto" w:sz="4" w:space="0"/>
            </w:tcBorders>
          </w:tcPr>
          <w:p w14:paraId="73051FD4">
            <w:pPr>
              <w:shd w:val="clear" w:color="auto" w:fill="FFFFFF"/>
              <w:tabs>
                <w:tab w:val="left" w:pos="612"/>
              </w:tabs>
              <w:spacing w:before="120" w:after="120"/>
              <w:rPr>
                <w:iCs/>
                <w:sz w:val="18"/>
                <w:szCs w:val="18"/>
                <w:lang w:eastAsia="ru-RU"/>
              </w:rPr>
            </w:pPr>
            <w:r>
              <w:rPr>
                <w:iCs/>
                <w:sz w:val="18"/>
                <w:szCs w:val="18"/>
                <w:lang w:eastAsia="ru-RU"/>
              </w:rPr>
              <w:t>Proectul programului distractive pentru 10 zile de odihnâ</w:t>
            </w:r>
          </w:p>
        </w:tc>
        <w:tc>
          <w:tcPr>
            <w:tcW w:w="3657" w:type="dxa"/>
            <w:tcBorders>
              <w:top w:val="single" w:color="auto" w:sz="4" w:space="0"/>
              <w:left w:val="single" w:color="auto" w:sz="4" w:space="0"/>
              <w:bottom w:val="single" w:color="auto" w:sz="4" w:space="0"/>
              <w:right w:val="single" w:color="auto" w:sz="4" w:space="0"/>
            </w:tcBorders>
          </w:tcPr>
          <w:p w14:paraId="26A2F21E">
            <w:pPr>
              <w:shd w:val="clear" w:color="auto" w:fill="FFFFFF"/>
              <w:tabs>
                <w:tab w:val="left" w:pos="612"/>
              </w:tabs>
              <w:spacing w:before="120" w:after="120"/>
              <w:rPr>
                <w:iCs/>
                <w:sz w:val="18"/>
                <w:szCs w:val="18"/>
                <w:lang w:eastAsia="ru-RU"/>
              </w:rPr>
            </w:pPr>
            <w:r>
              <w:rPr>
                <w:iCs/>
                <w:sz w:val="18"/>
                <w:szCs w:val="18"/>
                <w:lang w:eastAsia="ru-RU"/>
              </w:rPr>
              <w:t>Program aprobat, confirmată prin semnătura electronica a ofertantului,conform Anexei.</w:t>
            </w:r>
          </w:p>
        </w:tc>
        <w:tc>
          <w:tcPr>
            <w:tcW w:w="1536" w:type="dxa"/>
            <w:tcBorders>
              <w:top w:val="single" w:color="auto" w:sz="4" w:space="0"/>
              <w:left w:val="single" w:color="auto" w:sz="4" w:space="0"/>
              <w:bottom w:val="single" w:color="auto" w:sz="4" w:space="0"/>
              <w:right w:val="single" w:color="auto" w:sz="4" w:space="0"/>
            </w:tcBorders>
          </w:tcPr>
          <w:p w14:paraId="542F242A">
            <w:pPr>
              <w:shd w:val="clear" w:color="auto" w:fill="FFFFFF"/>
              <w:tabs>
                <w:tab w:val="left" w:pos="612"/>
              </w:tabs>
              <w:spacing w:before="120" w:after="120"/>
              <w:rPr>
                <w:iCs/>
                <w:lang w:val="en-US" w:eastAsia="ru-RU"/>
              </w:rPr>
            </w:pPr>
            <w:r>
              <w:rPr>
                <w:iCs/>
                <w:lang w:val="en-US" w:eastAsia="ru-RU"/>
              </w:rPr>
              <w:t>Obligatoriu</w:t>
            </w:r>
          </w:p>
        </w:tc>
      </w:tr>
      <w:tr w14:paraId="69C8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0EFFB8E2">
            <w:pPr>
              <w:shd w:val="clear" w:color="auto" w:fill="FFFFFF"/>
              <w:tabs>
                <w:tab w:val="left" w:pos="612"/>
              </w:tabs>
              <w:spacing w:before="120" w:after="120"/>
              <w:rPr>
                <w:iCs/>
                <w:lang w:val="en-US" w:eastAsia="ru-RU"/>
              </w:rPr>
            </w:pPr>
            <w:r>
              <w:rPr>
                <w:iCs/>
                <w:lang w:val="en-US" w:eastAsia="ru-RU"/>
              </w:rPr>
              <w:t>16.4.9</w:t>
            </w:r>
          </w:p>
        </w:tc>
        <w:tc>
          <w:tcPr>
            <w:tcW w:w="3364" w:type="dxa"/>
            <w:tcBorders>
              <w:top w:val="single" w:color="auto" w:sz="4" w:space="0"/>
              <w:left w:val="single" w:color="auto" w:sz="4" w:space="0"/>
              <w:bottom w:val="single" w:color="auto" w:sz="4" w:space="0"/>
              <w:right w:val="single" w:color="auto" w:sz="4" w:space="0"/>
            </w:tcBorders>
          </w:tcPr>
          <w:p w14:paraId="03645E91">
            <w:pPr>
              <w:shd w:val="clear" w:color="auto" w:fill="FFFFFF"/>
              <w:tabs>
                <w:tab w:val="left" w:pos="612"/>
              </w:tabs>
              <w:spacing w:before="120" w:after="120"/>
              <w:rPr>
                <w:iCs/>
                <w:sz w:val="18"/>
                <w:szCs w:val="18"/>
                <w:lang w:eastAsia="ru-RU"/>
              </w:rPr>
            </w:pPr>
            <w:r>
              <w:rPr>
                <w:iCs/>
                <w:sz w:val="18"/>
                <w:szCs w:val="18"/>
                <w:lang w:eastAsia="ru-RU"/>
              </w:rPr>
              <w:t>Meniu-model pentru 10 zile pentru odihna copiilor și întremarea sănătății copiilor</w:t>
            </w:r>
          </w:p>
        </w:tc>
        <w:tc>
          <w:tcPr>
            <w:tcW w:w="3657" w:type="dxa"/>
            <w:tcBorders>
              <w:top w:val="single" w:color="auto" w:sz="4" w:space="0"/>
              <w:left w:val="single" w:color="auto" w:sz="4" w:space="0"/>
              <w:bottom w:val="single" w:color="auto" w:sz="4" w:space="0"/>
              <w:right w:val="single" w:color="auto" w:sz="4" w:space="0"/>
            </w:tcBorders>
          </w:tcPr>
          <w:p w14:paraId="3C8C9773">
            <w:pPr>
              <w:shd w:val="clear" w:color="auto" w:fill="FFFFFF"/>
              <w:tabs>
                <w:tab w:val="left" w:pos="612"/>
              </w:tabs>
              <w:spacing w:before="120" w:after="120"/>
              <w:rPr>
                <w:iCs/>
                <w:sz w:val="18"/>
                <w:szCs w:val="18"/>
                <w:lang w:eastAsia="ru-RU"/>
              </w:rPr>
            </w:pPr>
            <w:r>
              <w:rPr>
                <w:iCs/>
                <w:sz w:val="18"/>
                <w:szCs w:val="18"/>
                <w:lang w:eastAsia="ru-RU"/>
              </w:rPr>
              <w:t>Apropat de către organelle abilitate confirmată prin semnătura electronica a ofertantului</w:t>
            </w:r>
          </w:p>
        </w:tc>
        <w:tc>
          <w:tcPr>
            <w:tcW w:w="1536" w:type="dxa"/>
            <w:tcBorders>
              <w:top w:val="single" w:color="auto" w:sz="4" w:space="0"/>
              <w:left w:val="single" w:color="auto" w:sz="4" w:space="0"/>
              <w:bottom w:val="single" w:color="auto" w:sz="4" w:space="0"/>
              <w:right w:val="single" w:color="auto" w:sz="4" w:space="0"/>
            </w:tcBorders>
          </w:tcPr>
          <w:p w14:paraId="789AE825">
            <w:pPr>
              <w:shd w:val="clear" w:color="auto" w:fill="FFFFFF"/>
              <w:tabs>
                <w:tab w:val="left" w:pos="612"/>
              </w:tabs>
              <w:spacing w:before="120" w:after="120"/>
              <w:rPr>
                <w:iCs/>
                <w:lang w:val="en-US" w:eastAsia="ru-RU"/>
              </w:rPr>
            </w:pPr>
            <w:r>
              <w:rPr>
                <w:iCs/>
                <w:lang w:val="en-US" w:eastAsia="ru-RU"/>
              </w:rPr>
              <w:t>Obligatoriu</w:t>
            </w:r>
          </w:p>
        </w:tc>
      </w:tr>
      <w:tr w14:paraId="777F1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59ED615B">
            <w:pPr>
              <w:shd w:val="clear" w:color="auto" w:fill="FFFFFF"/>
              <w:tabs>
                <w:tab w:val="left" w:pos="612"/>
              </w:tabs>
              <w:spacing w:before="120" w:after="120"/>
              <w:rPr>
                <w:iCs/>
                <w:lang w:val="en-US" w:eastAsia="ru-RU"/>
              </w:rPr>
            </w:pPr>
          </w:p>
          <w:p w14:paraId="02BCD7A6">
            <w:pPr>
              <w:shd w:val="clear" w:color="auto" w:fill="FFFFFF"/>
              <w:tabs>
                <w:tab w:val="left" w:pos="612"/>
              </w:tabs>
              <w:spacing w:before="120" w:after="120"/>
              <w:rPr>
                <w:iCs/>
                <w:lang w:val="en-US" w:eastAsia="ru-RU"/>
              </w:rPr>
            </w:pPr>
            <w:r>
              <w:rPr>
                <w:iCs/>
                <w:lang w:val="en-US" w:eastAsia="ru-RU"/>
              </w:rPr>
              <w:t>16.4.10</w:t>
            </w:r>
          </w:p>
        </w:tc>
        <w:tc>
          <w:tcPr>
            <w:tcW w:w="3364" w:type="dxa"/>
            <w:tcBorders>
              <w:top w:val="single" w:color="auto" w:sz="4" w:space="0"/>
              <w:left w:val="single" w:color="auto" w:sz="4" w:space="0"/>
              <w:bottom w:val="single" w:color="auto" w:sz="4" w:space="0"/>
              <w:right w:val="single" w:color="auto" w:sz="4" w:space="0"/>
            </w:tcBorders>
          </w:tcPr>
          <w:p w14:paraId="21A9AAE3">
            <w:pPr>
              <w:shd w:val="clear" w:color="auto" w:fill="FFFFFF"/>
              <w:tabs>
                <w:tab w:val="left" w:pos="612"/>
              </w:tabs>
              <w:spacing w:before="120" w:after="120"/>
              <w:rPr>
                <w:iCs/>
                <w:sz w:val="18"/>
                <w:szCs w:val="18"/>
                <w:lang w:eastAsia="ru-RU"/>
              </w:rPr>
            </w:pPr>
          </w:p>
          <w:p w14:paraId="050D870F">
            <w:pPr>
              <w:shd w:val="clear" w:color="auto" w:fill="FFFFFF"/>
              <w:tabs>
                <w:tab w:val="left" w:pos="612"/>
              </w:tabs>
              <w:spacing w:before="120" w:after="120"/>
              <w:rPr>
                <w:iCs/>
                <w:sz w:val="18"/>
                <w:szCs w:val="18"/>
                <w:lang w:eastAsia="ru-RU"/>
              </w:rPr>
            </w:pPr>
            <w:r>
              <w:rPr>
                <w:iCs/>
                <w:sz w:val="18"/>
                <w:szCs w:val="18"/>
                <w:lang w:eastAsia="ru-RU"/>
              </w:rPr>
              <w:t>Schema de încadrare a personaluluiu în taberele de odihnă și întermare a sănătății copiilor</w:t>
            </w:r>
          </w:p>
          <w:p w14:paraId="73030497">
            <w:pPr>
              <w:shd w:val="clear" w:color="auto" w:fill="FFFFFF"/>
              <w:tabs>
                <w:tab w:val="left" w:pos="612"/>
              </w:tabs>
              <w:spacing w:before="120" w:after="120"/>
              <w:rPr>
                <w:iCs/>
                <w:sz w:val="18"/>
                <w:szCs w:val="18"/>
                <w:lang w:eastAsia="ru-RU"/>
              </w:rPr>
            </w:pPr>
          </w:p>
        </w:tc>
        <w:tc>
          <w:tcPr>
            <w:tcW w:w="3657" w:type="dxa"/>
            <w:tcBorders>
              <w:top w:val="single" w:color="auto" w:sz="4" w:space="0"/>
              <w:left w:val="single" w:color="auto" w:sz="4" w:space="0"/>
              <w:bottom w:val="single" w:color="auto" w:sz="4" w:space="0"/>
              <w:right w:val="single" w:color="auto" w:sz="4" w:space="0"/>
            </w:tcBorders>
          </w:tcPr>
          <w:p w14:paraId="55D41342">
            <w:pPr>
              <w:shd w:val="clear" w:color="auto" w:fill="FFFFFF"/>
              <w:tabs>
                <w:tab w:val="left" w:pos="612"/>
              </w:tabs>
              <w:spacing w:before="120" w:after="120"/>
              <w:rPr>
                <w:iCs/>
                <w:sz w:val="18"/>
                <w:szCs w:val="18"/>
                <w:lang w:eastAsia="ru-RU"/>
              </w:rPr>
            </w:pPr>
            <w:r>
              <w:rPr>
                <w:iCs/>
                <w:sz w:val="18"/>
                <w:szCs w:val="18"/>
                <w:lang w:eastAsia="ru-RU"/>
              </w:rPr>
              <w:t>Schema de încadrare a personalului în tabere de odihnă și întremare a sănătății copiilor, să  corespundă condițiilor Anexei nr.2 din HG nr.334 din 23,04,2009 cu privire la aprpbarea Regulamentului de funcționare a taberelor de odihnă și întremare a sănătății copiilor și adolescențelor</w:t>
            </w:r>
          </w:p>
        </w:tc>
        <w:tc>
          <w:tcPr>
            <w:tcW w:w="1536" w:type="dxa"/>
            <w:tcBorders>
              <w:top w:val="single" w:color="auto" w:sz="4" w:space="0"/>
              <w:left w:val="single" w:color="auto" w:sz="4" w:space="0"/>
              <w:bottom w:val="single" w:color="auto" w:sz="4" w:space="0"/>
              <w:right w:val="single" w:color="auto" w:sz="4" w:space="0"/>
            </w:tcBorders>
          </w:tcPr>
          <w:p w14:paraId="43F3B54D">
            <w:pPr>
              <w:shd w:val="clear" w:color="auto" w:fill="FFFFFF"/>
              <w:tabs>
                <w:tab w:val="left" w:pos="612"/>
              </w:tabs>
              <w:spacing w:before="120" w:after="120"/>
              <w:rPr>
                <w:iCs/>
                <w:lang w:val="en-US" w:eastAsia="ru-RU"/>
              </w:rPr>
            </w:pPr>
            <w:r>
              <w:rPr>
                <w:iCs/>
                <w:lang w:val="en-US" w:eastAsia="ru-RU"/>
              </w:rPr>
              <w:t>Obligatoriu</w:t>
            </w:r>
          </w:p>
        </w:tc>
      </w:tr>
      <w:tr w14:paraId="7F83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624141EA">
            <w:pPr>
              <w:shd w:val="clear" w:color="auto" w:fill="FFFFFF"/>
              <w:tabs>
                <w:tab w:val="left" w:pos="612"/>
              </w:tabs>
              <w:spacing w:before="120" w:after="120"/>
              <w:rPr>
                <w:iCs/>
                <w:lang w:val="en-US" w:eastAsia="ru-RU"/>
              </w:rPr>
            </w:pPr>
            <w:r>
              <w:rPr>
                <w:iCs/>
                <w:lang w:val="en-US" w:eastAsia="ru-RU"/>
              </w:rPr>
              <w:t>16.4.11</w:t>
            </w:r>
          </w:p>
        </w:tc>
        <w:tc>
          <w:tcPr>
            <w:tcW w:w="3364" w:type="dxa"/>
            <w:tcBorders>
              <w:top w:val="single" w:color="auto" w:sz="4" w:space="0"/>
              <w:left w:val="single" w:color="auto" w:sz="4" w:space="0"/>
              <w:bottom w:val="single" w:color="auto" w:sz="4" w:space="0"/>
              <w:right w:val="single" w:color="auto" w:sz="4" w:space="0"/>
            </w:tcBorders>
          </w:tcPr>
          <w:p w14:paraId="7C8AA85D">
            <w:pPr>
              <w:shd w:val="clear" w:color="auto" w:fill="FFFFFF"/>
              <w:tabs>
                <w:tab w:val="left" w:pos="612"/>
              </w:tabs>
              <w:spacing w:before="120" w:after="120"/>
              <w:rPr>
                <w:iCs/>
                <w:sz w:val="18"/>
                <w:szCs w:val="18"/>
                <w:lang w:eastAsia="ru-RU"/>
              </w:rPr>
            </w:pPr>
            <w:r>
              <w:rPr>
                <w:iCs/>
                <w:sz w:val="18"/>
                <w:szCs w:val="18"/>
                <w:lang w:eastAsia="ru-RU"/>
              </w:rPr>
              <w:t>Declarația privind confirmarea indentității beneficiarilor efectiivi și neâncadrarea acestora în situația condamnării în situația condamnării pentru paeticiparea  la activități ale unei organizații sau grupări criminale, pentru corupție, feaudă și/sau spălare de bani apropată prin Ordinul Ministrul Finanțelor  nr.145 din 24.11.2020 (modelul se anex)</w:t>
            </w:r>
          </w:p>
        </w:tc>
        <w:tc>
          <w:tcPr>
            <w:tcW w:w="3657" w:type="dxa"/>
            <w:tcBorders>
              <w:top w:val="single" w:color="auto" w:sz="4" w:space="0"/>
              <w:left w:val="single" w:color="auto" w:sz="4" w:space="0"/>
              <w:bottom w:val="single" w:color="auto" w:sz="4" w:space="0"/>
              <w:right w:val="single" w:color="auto" w:sz="4" w:space="0"/>
            </w:tcBorders>
          </w:tcPr>
          <w:p w14:paraId="6E69E960">
            <w:pPr>
              <w:shd w:val="clear" w:color="auto" w:fill="FFFFFF"/>
              <w:tabs>
                <w:tab w:val="left" w:pos="612"/>
              </w:tabs>
              <w:spacing w:before="120" w:after="120"/>
              <w:rPr>
                <w:iCs/>
                <w:sz w:val="18"/>
                <w:szCs w:val="18"/>
                <w:lang w:eastAsia="ru-RU"/>
              </w:rPr>
            </w:pPr>
            <w:r>
              <w:rPr>
                <w:iCs/>
                <w:sz w:val="18"/>
                <w:szCs w:val="18"/>
                <w:lang w:eastAsia="ru-RU"/>
              </w:rPr>
              <w:t>Ofertantul/asociatul desemnat castigator în termen de 5 zile de la data comunicării rezultatelor procedurii de achiziție publică va prezenta autoritații cotractante și Agenției Publice la următoarele adrese electronice:</w:t>
            </w:r>
          </w:p>
          <w:p w14:paraId="702AEFCC">
            <w:pPr>
              <w:shd w:val="clear" w:color="auto" w:fill="FFFFFF"/>
              <w:tabs>
                <w:tab w:val="left" w:pos="612"/>
              </w:tabs>
              <w:spacing w:before="120" w:after="120"/>
              <w:rPr>
                <w:iCs/>
                <w:sz w:val="18"/>
                <w:szCs w:val="18"/>
                <w:lang w:eastAsia="ru-RU"/>
              </w:rPr>
            </w:pPr>
            <w:r>
              <w:fldChar w:fldCharType="begin"/>
            </w:r>
            <w:r>
              <w:instrText xml:space="preserve"> HYPERLINK "mailto:*bap@tender.gov.m" </w:instrText>
            </w:r>
            <w:r>
              <w:fldChar w:fldCharType="separate"/>
            </w:r>
            <w:r>
              <w:rPr>
                <w:iCs/>
                <w:color w:val="0563C1"/>
                <w:sz w:val="18"/>
                <w:szCs w:val="18"/>
                <w:u w:val="single"/>
                <w:lang w:eastAsia="ru-RU"/>
              </w:rPr>
              <w:t>*bap@tender.gov.m</w:t>
            </w:r>
            <w:r>
              <w:rPr>
                <w:iCs/>
                <w:color w:val="0563C1"/>
                <w:sz w:val="18"/>
                <w:szCs w:val="18"/>
                <w:u w:val="single"/>
                <w:lang w:eastAsia="ru-RU"/>
              </w:rPr>
              <w:fldChar w:fldCharType="end"/>
            </w:r>
            <w:r>
              <w:rPr>
                <w:iCs/>
                <w:color w:val="0563C1"/>
                <w:sz w:val="18"/>
                <w:szCs w:val="18"/>
                <w:u w:val="single"/>
                <w:lang w:eastAsia="ru-RU"/>
              </w:rPr>
              <w:t>d</w:t>
            </w:r>
          </w:p>
          <w:p w14:paraId="3A3E62EA">
            <w:pPr>
              <w:shd w:val="clear" w:color="auto" w:fill="FFFFFF"/>
              <w:tabs>
                <w:tab w:val="left" w:pos="612"/>
              </w:tabs>
              <w:spacing w:before="120" w:after="120"/>
              <w:rPr>
                <w:rFonts w:hint="default"/>
                <w:iCs/>
                <w:sz w:val="18"/>
                <w:szCs w:val="18"/>
                <w:lang w:val="en-US" w:eastAsia="ru-RU"/>
              </w:rPr>
            </w:pPr>
            <w:r>
              <w:rPr>
                <w:iCs/>
                <w:sz w:val="18"/>
                <w:szCs w:val="18"/>
                <w:lang w:eastAsia="ru-RU"/>
              </w:rPr>
              <w:t>*</w:t>
            </w:r>
            <w:r>
              <w:rPr>
                <w:rFonts w:hint="default"/>
                <w:iCs/>
                <w:sz w:val="18"/>
                <w:szCs w:val="18"/>
                <w:lang w:val="en-US" w:eastAsia="ru-RU"/>
              </w:rPr>
              <w:t>contabilitatedig</w:t>
            </w:r>
            <w:r>
              <w:rPr>
                <w:iCs/>
                <w:sz w:val="18"/>
                <w:szCs w:val="18"/>
                <w:lang w:eastAsia="ru-RU"/>
              </w:rPr>
              <w:t>@</w:t>
            </w:r>
            <w:r>
              <w:rPr>
                <w:rFonts w:hint="default"/>
                <w:iCs/>
                <w:sz w:val="18"/>
                <w:szCs w:val="18"/>
                <w:lang w:val="en-US" w:eastAsia="ru-RU"/>
              </w:rPr>
              <w:t>g</w:t>
            </w:r>
            <w:r>
              <w:rPr>
                <w:iCs/>
                <w:sz w:val="18"/>
                <w:szCs w:val="18"/>
                <w:lang w:eastAsia="ru-RU"/>
              </w:rPr>
              <w:t>mail.</w:t>
            </w:r>
            <w:r>
              <w:rPr>
                <w:rFonts w:hint="default"/>
                <w:iCs/>
                <w:sz w:val="18"/>
                <w:szCs w:val="18"/>
                <w:lang w:val="en-US" w:eastAsia="ru-RU"/>
              </w:rPr>
              <w:t>com</w:t>
            </w:r>
          </w:p>
        </w:tc>
        <w:tc>
          <w:tcPr>
            <w:tcW w:w="1536" w:type="dxa"/>
            <w:tcBorders>
              <w:top w:val="single" w:color="auto" w:sz="4" w:space="0"/>
              <w:left w:val="single" w:color="auto" w:sz="4" w:space="0"/>
              <w:bottom w:val="single" w:color="auto" w:sz="4" w:space="0"/>
              <w:right w:val="single" w:color="auto" w:sz="4" w:space="0"/>
            </w:tcBorders>
          </w:tcPr>
          <w:p w14:paraId="066583F4">
            <w:pPr>
              <w:shd w:val="clear" w:color="auto" w:fill="FFFFFF"/>
              <w:tabs>
                <w:tab w:val="left" w:pos="612"/>
              </w:tabs>
              <w:spacing w:before="120" w:after="120"/>
              <w:rPr>
                <w:iCs/>
                <w:lang w:val="en-US" w:eastAsia="ru-RU"/>
              </w:rPr>
            </w:pPr>
            <w:r>
              <w:rPr>
                <w:iCs/>
                <w:lang w:val="en-US" w:eastAsia="ru-RU"/>
              </w:rPr>
              <w:t>Obligatoriu</w:t>
            </w:r>
          </w:p>
        </w:tc>
      </w:tr>
      <w:tr w14:paraId="52D17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7E381990">
            <w:pPr>
              <w:shd w:val="clear" w:color="auto" w:fill="FFFFFF"/>
              <w:tabs>
                <w:tab w:val="left" w:pos="612"/>
              </w:tabs>
              <w:spacing w:before="120" w:after="120"/>
              <w:rPr>
                <w:iCs/>
                <w:lang w:val="en-US" w:eastAsia="ru-RU"/>
              </w:rPr>
            </w:pPr>
            <w:r>
              <w:rPr>
                <w:iCs/>
                <w:lang w:val="en-US" w:eastAsia="ru-RU"/>
              </w:rPr>
              <w:t>16.4.12</w:t>
            </w:r>
          </w:p>
          <w:p w14:paraId="4939997B">
            <w:pPr>
              <w:shd w:val="clear" w:color="auto" w:fill="FFFFFF"/>
              <w:tabs>
                <w:tab w:val="left" w:pos="612"/>
              </w:tabs>
              <w:spacing w:before="120" w:after="120"/>
              <w:rPr>
                <w:iCs/>
                <w:lang w:val="en-US" w:eastAsia="ru-RU"/>
              </w:rPr>
            </w:pPr>
          </w:p>
          <w:p w14:paraId="41C1DA60">
            <w:pPr>
              <w:shd w:val="clear" w:color="auto" w:fill="FFFFFF"/>
              <w:tabs>
                <w:tab w:val="left" w:pos="612"/>
              </w:tabs>
              <w:spacing w:before="120" w:after="120"/>
              <w:rPr>
                <w:iCs/>
                <w:lang w:val="en-US" w:eastAsia="ru-RU"/>
              </w:rPr>
            </w:pPr>
          </w:p>
        </w:tc>
        <w:tc>
          <w:tcPr>
            <w:tcW w:w="3364" w:type="dxa"/>
            <w:tcBorders>
              <w:top w:val="single" w:color="auto" w:sz="4" w:space="0"/>
              <w:left w:val="single" w:color="auto" w:sz="4" w:space="0"/>
              <w:bottom w:val="single" w:color="auto" w:sz="4" w:space="0"/>
              <w:right w:val="single" w:color="auto" w:sz="4" w:space="0"/>
            </w:tcBorders>
          </w:tcPr>
          <w:p w14:paraId="44E374C9">
            <w:pPr>
              <w:shd w:val="clear" w:color="auto" w:fill="FFFFFF"/>
              <w:tabs>
                <w:tab w:val="left" w:pos="612"/>
              </w:tabs>
              <w:spacing w:before="120" w:after="120"/>
              <w:rPr>
                <w:iCs/>
                <w:sz w:val="18"/>
                <w:szCs w:val="18"/>
                <w:lang w:eastAsia="ru-RU"/>
              </w:rPr>
            </w:pPr>
            <w:r>
              <w:rPr>
                <w:iCs/>
                <w:sz w:val="18"/>
                <w:szCs w:val="18"/>
                <w:lang w:eastAsia="ru-RU"/>
              </w:rPr>
              <w:t>Garanția de bună execuție a contractului</w:t>
            </w:r>
          </w:p>
          <w:p w14:paraId="650409AD">
            <w:pPr>
              <w:shd w:val="clear" w:color="auto" w:fill="FFFFFF"/>
              <w:tabs>
                <w:tab w:val="left" w:pos="612"/>
              </w:tabs>
              <w:spacing w:before="120" w:after="120"/>
              <w:rPr>
                <w:iCs/>
                <w:sz w:val="18"/>
                <w:szCs w:val="18"/>
                <w:lang w:eastAsia="ru-RU"/>
              </w:rPr>
            </w:pPr>
          </w:p>
        </w:tc>
        <w:tc>
          <w:tcPr>
            <w:tcW w:w="3657" w:type="dxa"/>
            <w:tcBorders>
              <w:top w:val="single" w:color="auto" w:sz="4" w:space="0"/>
              <w:left w:val="single" w:color="auto" w:sz="4" w:space="0"/>
              <w:bottom w:val="single" w:color="auto" w:sz="4" w:space="0"/>
              <w:right w:val="single" w:color="auto" w:sz="4" w:space="0"/>
            </w:tcBorders>
          </w:tcPr>
          <w:p w14:paraId="66F416B3">
            <w:pPr>
              <w:shd w:val="clear" w:color="auto" w:fill="FFFFFF"/>
              <w:tabs>
                <w:tab w:val="left" w:pos="612"/>
              </w:tabs>
              <w:spacing w:before="120" w:after="120"/>
              <w:rPr>
                <w:iCs/>
                <w:sz w:val="18"/>
                <w:szCs w:val="18"/>
                <w:lang w:eastAsia="ru-RU"/>
              </w:rPr>
            </w:pPr>
            <w:r>
              <w:rPr>
                <w:iCs/>
                <w:sz w:val="18"/>
                <w:szCs w:val="18"/>
                <w:lang w:eastAsia="ru-RU"/>
              </w:rPr>
              <w:t>Ofertantul desemnat câștigător după primirea scrisorii de acceptare a ofertei din parte autoritatea contractantă , în termen de maximum 10 zile , dar nu mai târziu de data încheierii contractului, se angajează să prezinte autorității contractante garanția  de bună execuție a contractului, obținută de la banca unde se deservește, pentru o sumă în cuantum de 5% din valoare contractului atribuit</w:t>
            </w:r>
          </w:p>
        </w:tc>
        <w:tc>
          <w:tcPr>
            <w:tcW w:w="1536" w:type="dxa"/>
            <w:tcBorders>
              <w:top w:val="single" w:color="auto" w:sz="4" w:space="0"/>
              <w:left w:val="single" w:color="auto" w:sz="4" w:space="0"/>
              <w:bottom w:val="single" w:color="auto" w:sz="4" w:space="0"/>
              <w:right w:val="single" w:color="auto" w:sz="4" w:space="0"/>
            </w:tcBorders>
          </w:tcPr>
          <w:p w14:paraId="3D17BD99">
            <w:pPr>
              <w:shd w:val="clear" w:color="auto" w:fill="FFFFFF"/>
              <w:tabs>
                <w:tab w:val="left" w:pos="612"/>
              </w:tabs>
              <w:spacing w:before="120" w:after="120"/>
              <w:rPr>
                <w:iCs/>
                <w:lang w:val="en-US" w:eastAsia="ru-RU"/>
              </w:rPr>
            </w:pPr>
            <w:r>
              <w:rPr>
                <w:iCs/>
                <w:lang w:val="en-US" w:eastAsia="ru-RU"/>
              </w:rPr>
              <w:t>Obligatoriu</w:t>
            </w:r>
          </w:p>
        </w:tc>
      </w:tr>
      <w:tr w14:paraId="0281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48F503D8">
            <w:pPr>
              <w:shd w:val="clear" w:color="auto" w:fill="FFFFFF"/>
              <w:tabs>
                <w:tab w:val="left" w:pos="612"/>
              </w:tabs>
              <w:spacing w:before="120" w:after="120"/>
              <w:rPr>
                <w:iCs/>
                <w:lang w:val="en-US" w:eastAsia="ru-RU"/>
              </w:rPr>
            </w:pPr>
            <w:r>
              <w:rPr>
                <w:iCs/>
                <w:lang w:val="en-US" w:eastAsia="ru-RU"/>
              </w:rPr>
              <w:t>16.5</w:t>
            </w:r>
          </w:p>
        </w:tc>
        <w:tc>
          <w:tcPr>
            <w:tcW w:w="7021" w:type="dxa"/>
            <w:gridSpan w:val="2"/>
            <w:tcBorders>
              <w:top w:val="single" w:color="auto" w:sz="4" w:space="0"/>
              <w:left w:val="single" w:color="auto" w:sz="4" w:space="0"/>
              <w:bottom w:val="single" w:color="auto" w:sz="4" w:space="0"/>
              <w:right w:val="single" w:color="auto" w:sz="4" w:space="0"/>
            </w:tcBorders>
          </w:tcPr>
          <w:p w14:paraId="7AA154A0">
            <w:pPr>
              <w:shd w:val="clear" w:color="auto" w:fill="FFFFFF"/>
              <w:tabs>
                <w:tab w:val="left" w:pos="612"/>
              </w:tabs>
              <w:spacing w:before="120" w:after="120"/>
              <w:rPr>
                <w:b/>
                <w:iCs/>
                <w:sz w:val="22"/>
                <w:szCs w:val="22"/>
                <w:lang w:eastAsia="ru-RU"/>
              </w:rPr>
            </w:pPr>
            <w:r>
              <w:rPr>
                <w:b/>
                <w:iCs/>
                <w:sz w:val="22"/>
                <w:szCs w:val="22"/>
                <w:lang w:eastAsia="ru-RU"/>
              </w:rPr>
              <w:t>Operatorul economic participat va asigura și dispune de:</w:t>
            </w:r>
          </w:p>
        </w:tc>
        <w:tc>
          <w:tcPr>
            <w:tcW w:w="1536" w:type="dxa"/>
            <w:tcBorders>
              <w:top w:val="single" w:color="auto" w:sz="4" w:space="0"/>
              <w:left w:val="single" w:color="auto" w:sz="4" w:space="0"/>
              <w:bottom w:val="single" w:color="auto" w:sz="4" w:space="0"/>
              <w:right w:val="single" w:color="auto" w:sz="4" w:space="0"/>
            </w:tcBorders>
          </w:tcPr>
          <w:p w14:paraId="1A387231">
            <w:pPr>
              <w:shd w:val="clear" w:color="auto" w:fill="FFFFFF"/>
              <w:tabs>
                <w:tab w:val="left" w:pos="612"/>
              </w:tabs>
              <w:spacing w:before="120" w:after="120"/>
              <w:rPr>
                <w:iCs/>
                <w:lang w:val="en-US" w:eastAsia="ru-RU"/>
              </w:rPr>
            </w:pPr>
          </w:p>
        </w:tc>
      </w:tr>
      <w:tr w14:paraId="3590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3D939E69">
            <w:pPr>
              <w:shd w:val="clear" w:color="auto" w:fill="FFFFFF"/>
              <w:tabs>
                <w:tab w:val="left" w:pos="612"/>
              </w:tabs>
              <w:spacing w:before="120" w:after="120"/>
              <w:rPr>
                <w:iCs/>
                <w:lang w:val="en-US" w:eastAsia="ru-RU"/>
              </w:rPr>
            </w:pPr>
          </w:p>
          <w:p w14:paraId="6330FC49">
            <w:pPr>
              <w:shd w:val="clear" w:color="auto" w:fill="FFFFFF"/>
              <w:tabs>
                <w:tab w:val="left" w:pos="612"/>
              </w:tabs>
              <w:spacing w:before="120" w:after="120"/>
              <w:rPr>
                <w:iCs/>
                <w:lang w:val="en-US" w:eastAsia="ru-RU"/>
              </w:rPr>
            </w:pPr>
          </w:p>
          <w:p w14:paraId="694B5AB4">
            <w:pPr>
              <w:shd w:val="clear" w:color="auto" w:fill="FFFFFF"/>
              <w:tabs>
                <w:tab w:val="left" w:pos="612"/>
              </w:tabs>
              <w:spacing w:before="120" w:after="120"/>
              <w:rPr>
                <w:iCs/>
                <w:lang w:val="en-US" w:eastAsia="ru-RU"/>
              </w:rPr>
            </w:pPr>
          </w:p>
          <w:p w14:paraId="6ED5FBCD">
            <w:pPr>
              <w:shd w:val="clear" w:color="auto" w:fill="FFFFFF"/>
              <w:tabs>
                <w:tab w:val="left" w:pos="612"/>
              </w:tabs>
              <w:spacing w:before="120" w:after="120"/>
              <w:rPr>
                <w:iCs/>
                <w:lang w:val="en-US" w:eastAsia="ru-RU"/>
              </w:rPr>
            </w:pPr>
            <w:r>
              <w:rPr>
                <w:iCs/>
                <w:lang w:val="en-US" w:eastAsia="ru-RU"/>
              </w:rPr>
              <w:t>16.5.1</w:t>
            </w:r>
          </w:p>
          <w:p w14:paraId="3C6A6C71">
            <w:pPr>
              <w:rPr>
                <w:lang w:val="en-US" w:eastAsia="ru-RU"/>
              </w:rPr>
            </w:pPr>
          </w:p>
          <w:p w14:paraId="734C6F68">
            <w:pPr>
              <w:rPr>
                <w:lang w:val="en-US" w:eastAsia="ru-RU"/>
              </w:rPr>
            </w:pPr>
          </w:p>
          <w:p w14:paraId="76B793BD">
            <w:pPr>
              <w:rPr>
                <w:lang w:val="en-US" w:eastAsia="ru-RU"/>
              </w:rPr>
            </w:pPr>
          </w:p>
          <w:p w14:paraId="05A74961">
            <w:pPr>
              <w:rPr>
                <w:lang w:val="en-US" w:eastAsia="ru-RU"/>
              </w:rPr>
            </w:pPr>
          </w:p>
          <w:p w14:paraId="669CE1E0">
            <w:pPr>
              <w:rPr>
                <w:iCs/>
                <w:lang w:val="en-US" w:eastAsia="ru-RU"/>
              </w:rPr>
            </w:pPr>
          </w:p>
          <w:p w14:paraId="0AE39199">
            <w:pPr>
              <w:rPr>
                <w:lang w:val="en-US" w:eastAsia="ru-RU"/>
              </w:rPr>
            </w:pPr>
            <w:r>
              <w:rPr>
                <w:lang w:val="en-US" w:eastAsia="ru-RU"/>
              </w:rPr>
              <w:t>16.5.2</w:t>
            </w:r>
          </w:p>
        </w:tc>
        <w:tc>
          <w:tcPr>
            <w:tcW w:w="7021" w:type="dxa"/>
            <w:gridSpan w:val="2"/>
            <w:tcBorders>
              <w:top w:val="single" w:color="auto" w:sz="4" w:space="0"/>
              <w:left w:val="single" w:color="auto" w:sz="4" w:space="0"/>
              <w:bottom w:val="single" w:color="auto" w:sz="4" w:space="0"/>
              <w:right w:val="single" w:color="auto" w:sz="4" w:space="0"/>
            </w:tcBorders>
          </w:tcPr>
          <w:p w14:paraId="575544C4">
            <w:pPr>
              <w:shd w:val="clear" w:color="auto" w:fill="FFFFFF"/>
              <w:tabs>
                <w:tab w:val="left" w:pos="612"/>
              </w:tabs>
              <w:spacing w:before="120" w:after="120"/>
              <w:rPr>
                <w:iCs/>
                <w:sz w:val="18"/>
                <w:szCs w:val="18"/>
                <w:lang w:eastAsia="ru-RU"/>
              </w:rPr>
            </w:pPr>
            <w:r>
              <w:rPr>
                <w:iCs/>
                <w:sz w:val="18"/>
                <w:szCs w:val="18"/>
                <w:lang w:eastAsia="ru-RU"/>
              </w:rPr>
              <w:t>*Execuția serviciului se vs face conform cerinelor expuse în caetul de sarcini.</w:t>
            </w:r>
          </w:p>
          <w:p w14:paraId="7D3BF727">
            <w:pPr>
              <w:shd w:val="clear" w:color="auto" w:fill="FFFFFF"/>
              <w:tabs>
                <w:tab w:val="left" w:pos="612"/>
              </w:tabs>
              <w:spacing w:before="120" w:after="120"/>
              <w:rPr>
                <w:iCs/>
                <w:sz w:val="18"/>
                <w:szCs w:val="18"/>
                <w:lang w:eastAsia="ru-RU"/>
              </w:rPr>
            </w:pPr>
            <w:r>
              <w:rPr>
                <w:iCs/>
                <w:sz w:val="18"/>
                <w:szCs w:val="18"/>
                <w:lang w:eastAsia="ru-RU"/>
              </w:rPr>
              <w:t>*Oferta, documentele legate de lecitaîie vor fi întocmite în limba de Stat română.</w:t>
            </w:r>
          </w:p>
          <w:p w14:paraId="00859F37">
            <w:pPr>
              <w:shd w:val="clear" w:color="auto" w:fill="FFFFFF"/>
              <w:tabs>
                <w:tab w:val="left" w:pos="612"/>
              </w:tabs>
              <w:spacing w:before="120" w:after="120"/>
              <w:rPr>
                <w:iCs/>
                <w:sz w:val="18"/>
                <w:szCs w:val="18"/>
                <w:lang w:eastAsia="ru-RU"/>
              </w:rPr>
            </w:pPr>
            <w:r>
              <w:rPr>
                <w:iCs/>
                <w:sz w:val="18"/>
                <w:szCs w:val="18"/>
                <w:lang w:eastAsia="ru-RU"/>
              </w:rPr>
              <w:t>*Documentele justificative și literature de specialitate tipărită, certificatele de conformitate  pentru materialele solicitate care fac parte din ofertă, pot fi în altă limbă, cu condiția că acestea  să fie însoțite  de o traducere exacta a fragmentelor relevante  în limba de stat.</w:t>
            </w:r>
          </w:p>
          <w:p w14:paraId="2139A0D4">
            <w:pPr>
              <w:shd w:val="clear" w:color="auto" w:fill="FFFFFF"/>
              <w:tabs>
                <w:tab w:val="left" w:pos="612"/>
              </w:tabs>
              <w:spacing w:before="120" w:after="120"/>
              <w:rPr>
                <w:iCs/>
                <w:sz w:val="18"/>
                <w:szCs w:val="18"/>
                <w:lang w:eastAsia="ru-RU"/>
              </w:rPr>
            </w:pPr>
            <w:r>
              <w:rPr>
                <w:iCs/>
                <w:sz w:val="18"/>
                <w:szCs w:val="18"/>
                <w:lang w:eastAsia="ru-RU"/>
              </w:rPr>
              <w:t>*Pentru eficientizarea examinării, evaluării și comparării ofertelor, autoritatea contractantâ recomandă ofertanților să posede și să depună în sistemul electronic SIA  RSAP, toate documentele de atribuire, la momentul depunerii ofertei.</w:t>
            </w:r>
          </w:p>
          <w:p w14:paraId="3ADBA010">
            <w:pPr>
              <w:shd w:val="clear" w:color="auto" w:fill="FFFFFF"/>
              <w:tabs>
                <w:tab w:val="left" w:pos="612"/>
              </w:tabs>
              <w:spacing w:before="120" w:after="120"/>
              <w:rPr>
                <w:iCs/>
                <w:sz w:val="18"/>
                <w:szCs w:val="18"/>
                <w:lang w:eastAsia="ru-RU"/>
              </w:rPr>
            </w:pPr>
            <w:r>
              <w:rPr>
                <w:iCs/>
                <w:sz w:val="18"/>
                <w:szCs w:val="18"/>
                <w:lang w:eastAsia="ru-RU"/>
              </w:rPr>
              <w:t>*Documentele din ofertă, în cazul când vor fi solicitate de autoritatea contractantă pentru confirmarea operatorului economic clasat pe primul loc cu cerințele stabilitate de documentația de atribuire, să fie prezentate în ordinea solicitată în tabelul.</w:t>
            </w:r>
          </w:p>
          <w:p w14:paraId="169849E3">
            <w:pPr>
              <w:shd w:val="clear" w:color="auto" w:fill="FFFFFF"/>
              <w:tabs>
                <w:tab w:val="left" w:pos="612"/>
              </w:tabs>
              <w:spacing w:before="120" w:after="120"/>
              <w:rPr>
                <w:iCs/>
                <w:sz w:val="18"/>
                <w:szCs w:val="18"/>
                <w:lang w:eastAsia="ru-RU"/>
              </w:rPr>
            </w:pPr>
          </w:p>
          <w:p w14:paraId="0A0A96F4">
            <w:pPr>
              <w:shd w:val="clear" w:color="auto" w:fill="FFFFFF"/>
              <w:tabs>
                <w:tab w:val="left" w:pos="612"/>
              </w:tabs>
              <w:spacing w:before="120" w:after="120"/>
              <w:rPr>
                <w:iCs/>
                <w:sz w:val="18"/>
                <w:szCs w:val="18"/>
                <w:lang w:eastAsia="ru-RU"/>
              </w:rPr>
            </w:pPr>
            <w:r>
              <w:rPr>
                <w:iCs/>
                <w:sz w:val="18"/>
                <w:szCs w:val="18"/>
                <w:lang w:eastAsia="ru-RU"/>
              </w:rPr>
              <w:t>Prioritate vor avea taberele de odihna amplasate pe teritoriul raionului Dubasari.</w:t>
            </w:r>
          </w:p>
          <w:p w14:paraId="3BFC23E6">
            <w:pPr>
              <w:shd w:val="clear" w:color="auto" w:fill="FFFFFF"/>
              <w:tabs>
                <w:tab w:val="left" w:pos="612"/>
              </w:tabs>
              <w:spacing w:before="120" w:after="120"/>
              <w:rPr>
                <w:iCs/>
                <w:sz w:val="18"/>
                <w:szCs w:val="18"/>
                <w:lang w:eastAsia="ru-RU"/>
              </w:rPr>
            </w:pPr>
          </w:p>
          <w:p w14:paraId="6B5750F2">
            <w:pPr>
              <w:shd w:val="clear" w:color="auto" w:fill="FFFFFF"/>
              <w:tabs>
                <w:tab w:val="left" w:pos="612"/>
              </w:tabs>
              <w:spacing w:before="120" w:after="120"/>
              <w:rPr>
                <w:iCs/>
                <w:sz w:val="18"/>
                <w:szCs w:val="18"/>
                <w:lang w:eastAsia="ru-RU"/>
              </w:rPr>
            </w:pPr>
            <w:r>
              <w:rPr>
                <w:iCs/>
                <w:sz w:val="18"/>
                <w:szCs w:val="18"/>
                <w:lang w:eastAsia="ru-RU"/>
              </w:rPr>
              <w:t xml:space="preserve"> </w:t>
            </w:r>
          </w:p>
        </w:tc>
        <w:tc>
          <w:tcPr>
            <w:tcW w:w="1536" w:type="dxa"/>
            <w:tcBorders>
              <w:top w:val="single" w:color="auto" w:sz="4" w:space="0"/>
              <w:left w:val="single" w:color="auto" w:sz="4" w:space="0"/>
              <w:bottom w:val="single" w:color="auto" w:sz="4" w:space="0"/>
              <w:right w:val="single" w:color="auto" w:sz="4" w:space="0"/>
            </w:tcBorders>
          </w:tcPr>
          <w:p w14:paraId="0FC938B2">
            <w:pPr>
              <w:shd w:val="clear" w:color="auto" w:fill="FFFFFF"/>
              <w:tabs>
                <w:tab w:val="left" w:pos="612"/>
              </w:tabs>
              <w:spacing w:before="120" w:after="120"/>
              <w:rPr>
                <w:iCs/>
                <w:lang w:val="en-US" w:eastAsia="ru-RU"/>
              </w:rPr>
            </w:pPr>
            <w:r>
              <w:rPr>
                <w:iCs/>
                <w:lang w:val="en-US" w:eastAsia="ru-RU"/>
              </w:rPr>
              <w:t>Obligatoriu</w:t>
            </w:r>
          </w:p>
        </w:tc>
      </w:tr>
    </w:tbl>
    <w:p w14:paraId="0DBB3A52">
      <w:pPr>
        <w:shd w:val="clear" w:color="auto" w:fill="FFFFFF"/>
        <w:tabs>
          <w:tab w:val="right" w:pos="426"/>
        </w:tabs>
        <w:spacing w:before="120"/>
        <w:jc w:val="both"/>
        <w:rPr>
          <w:b/>
          <w:lang w:val="it-IT" w:eastAsia="ru-RU"/>
        </w:rPr>
      </w:pPr>
      <w:r>
        <w:rPr>
          <w:b/>
          <w:lang w:val="it-IT" w:eastAsia="ru-RU"/>
        </w:rPr>
        <w:t>17. Garanția pentru ofertă, 1%</w:t>
      </w:r>
    </w:p>
    <w:p w14:paraId="62B90FDD">
      <w:pPr>
        <w:rPr>
          <w:b/>
          <w:lang w:val="it-IT" w:eastAsia="ru-RU"/>
        </w:rPr>
      </w:pPr>
      <w:r>
        <w:rPr>
          <w:b/>
          <w:lang w:val="it-IT" w:eastAsia="ru-RU"/>
        </w:rPr>
        <w:t>18. Garanția de bună execuție a contractului, 5%</w:t>
      </w:r>
    </w:p>
    <w:p w14:paraId="70A27456">
      <w:pPr>
        <w:shd w:val="clear" w:color="auto" w:fill="FFFFFF"/>
        <w:tabs>
          <w:tab w:val="right" w:pos="426"/>
        </w:tabs>
        <w:spacing w:before="120"/>
        <w:rPr>
          <w:b/>
          <w:lang w:val="it-IT" w:eastAsia="ru-RU"/>
        </w:rPr>
      </w:pPr>
      <w:r>
        <w:rPr>
          <w:b/>
          <w:lang w:val="it-IT" w:eastAsia="ru-RU"/>
        </w:rPr>
        <w:t>19. Motivul recurgerii la procedura accelerată (în cazul licitației deschise, restrânse și a procedurii negociate</w:t>
      </w:r>
    </w:p>
    <w:p w14:paraId="23560C64">
      <w:pPr>
        <w:shd w:val="clear" w:color="auto" w:fill="FFFFFF"/>
        <w:tabs>
          <w:tab w:val="right" w:pos="426"/>
        </w:tabs>
        <w:spacing w:before="120"/>
        <w:rPr>
          <w:b/>
          <w:lang w:val="it-IT" w:eastAsia="ru-RU"/>
        </w:rPr>
      </w:pPr>
      <w:r>
        <w:rPr>
          <w:b/>
          <w:lang w:val="it-IT" w:eastAsia="ru-RU"/>
        </w:rPr>
        <w:t>20. Tehnici și instrumente specifice de atribuire (dacă este cazul specificați dacă se va utiliza acordul-cadru, sistemul dinamic de achiziție sau licitația electronică):se cere</w:t>
      </w:r>
    </w:p>
    <w:p w14:paraId="372629A0">
      <w:pPr>
        <w:tabs>
          <w:tab w:val="right" w:pos="426"/>
        </w:tabs>
        <w:spacing w:before="120"/>
        <w:rPr>
          <w:b/>
          <w:lang w:val="it-IT" w:eastAsia="ru-RU"/>
        </w:rPr>
      </w:pPr>
      <w:r>
        <w:rPr>
          <w:b/>
          <w:lang w:val="it-IT" w:eastAsia="ru-RU"/>
        </w:rPr>
        <w:t>21. Condiții speciale de care depinde îndeplinirea contractului (</w:t>
      </w:r>
      <w:r>
        <w:rPr>
          <w:lang w:val="it-IT" w:eastAsia="ru-RU"/>
        </w:rPr>
        <w:t>indicați după caz</w:t>
      </w:r>
      <w:r>
        <w:rPr>
          <w:b/>
          <w:lang w:val="it-IT" w:eastAsia="ru-RU"/>
        </w:rPr>
        <w:t xml:space="preserve">): nu </w:t>
      </w:r>
      <w:bookmarkStart w:id="71" w:name="_Hlk71621175"/>
      <w:r>
        <w:rPr>
          <w:b/>
          <w:lang w:val="it-IT" w:eastAsia="ru-RU"/>
        </w:rPr>
        <w:t>se cere</w:t>
      </w:r>
    </w:p>
    <w:p w14:paraId="4E17BC09">
      <w:pPr>
        <w:tabs>
          <w:tab w:val="right" w:pos="426"/>
        </w:tabs>
        <w:spacing w:before="120"/>
        <w:rPr>
          <w:b/>
          <w:lang w:val="it-IT" w:eastAsia="ru-RU"/>
        </w:rPr>
      </w:pPr>
      <w:r>
        <w:rPr>
          <w:b/>
          <w:lang w:val="it-IT" w:eastAsia="ru-RU"/>
        </w:rPr>
        <w:t>22. Ofertele se prezintă în valut</w:t>
      </w:r>
      <w:bookmarkEnd w:id="71"/>
      <w:r>
        <w:rPr>
          <w:b/>
          <w:lang w:val="it-IT" w:eastAsia="ru-RU"/>
        </w:rPr>
        <w:t>a lei MD</w:t>
      </w:r>
    </w:p>
    <w:p w14:paraId="7F958819">
      <w:pPr>
        <w:tabs>
          <w:tab w:val="right" w:pos="426"/>
        </w:tabs>
        <w:spacing w:before="120"/>
        <w:rPr>
          <w:b/>
          <w:lang w:val="it-IT" w:eastAsia="ru-RU"/>
        </w:rPr>
      </w:pPr>
      <w:r>
        <w:rPr>
          <w:b/>
          <w:lang w:val="it-IT" w:eastAsia="ru-RU"/>
        </w:rPr>
        <w:t>23. Criteriul de evaluare aplicat pentru atribuirea contractului: Prețul cel mai scăzut.</w:t>
      </w:r>
    </w:p>
    <w:p w14:paraId="26931754">
      <w:pPr>
        <w:tabs>
          <w:tab w:val="right" w:pos="426"/>
        </w:tabs>
        <w:spacing w:before="120"/>
        <w:jc w:val="both"/>
        <w:rPr>
          <w:b/>
          <w:lang w:val="it-IT" w:eastAsia="ru-RU"/>
        </w:rPr>
      </w:pPr>
      <w:r>
        <w:rPr>
          <w:b/>
          <w:lang w:val="it-IT" w:eastAsia="ru-RU"/>
        </w:rPr>
        <w:t>24. Mai avantajoase din punct de vedere economic, precum și ponderile lor: nu se aplică</w:t>
      </w:r>
    </w:p>
    <w:p w14:paraId="73F2A8E3">
      <w:pPr>
        <w:shd w:val="clear" w:color="auto" w:fill="FFFFFF"/>
        <w:tabs>
          <w:tab w:val="right" w:pos="426"/>
        </w:tabs>
        <w:spacing w:before="120"/>
        <w:rPr>
          <w:b/>
          <w:lang w:eastAsia="ru-RU"/>
        </w:rPr>
      </w:pPr>
      <w:r>
        <w:rPr>
          <w:b/>
          <w:lang w:eastAsia="ru-RU"/>
        </w:rPr>
        <w:t>25. Termenul limită de depunere/deschidere a ofertelor:</w:t>
      </w:r>
    </w:p>
    <w:p w14:paraId="3F45EF39">
      <w:pPr>
        <w:numPr>
          <w:ilvl w:val="0"/>
          <w:numId w:val="11"/>
        </w:numPr>
        <w:shd w:val="clear" w:color="auto" w:fill="FFFFFF"/>
        <w:tabs>
          <w:tab w:val="right" w:pos="426"/>
        </w:tabs>
        <w:spacing w:before="120"/>
        <w:rPr>
          <w:b/>
          <w:lang w:eastAsia="ru-RU"/>
        </w:rPr>
      </w:pPr>
      <w:r>
        <w:rPr>
          <w:b/>
          <w:lang w:eastAsia="ru-RU"/>
        </w:rPr>
        <w:t xml:space="preserve">până la: </w:t>
      </w:r>
      <w:r>
        <w:rPr>
          <w:b/>
          <w:i/>
          <w:lang w:eastAsia="ru-RU"/>
        </w:rPr>
        <w:t>conform anunțului de participare</w:t>
      </w:r>
    </w:p>
    <w:p w14:paraId="78F720C4">
      <w:pPr>
        <w:numPr>
          <w:ilvl w:val="0"/>
          <w:numId w:val="11"/>
        </w:numPr>
        <w:shd w:val="clear" w:color="auto" w:fill="FFFFFF"/>
        <w:tabs>
          <w:tab w:val="right" w:pos="426"/>
        </w:tabs>
        <w:spacing w:before="120"/>
        <w:rPr>
          <w:b/>
          <w:lang w:eastAsia="ru-RU"/>
        </w:rPr>
      </w:pPr>
      <w:r>
        <w:rPr>
          <w:b/>
          <w:lang w:eastAsia="ru-RU"/>
        </w:rPr>
        <w:t xml:space="preserve">pe: </w:t>
      </w:r>
      <w:r>
        <w:rPr>
          <w:b/>
          <w:i/>
          <w:lang w:eastAsia="ru-RU"/>
        </w:rPr>
        <w:t>platforma achiziții.md</w:t>
      </w:r>
    </w:p>
    <w:p w14:paraId="3BB0EED9">
      <w:pPr>
        <w:shd w:val="clear" w:color="auto" w:fill="FFFFFF"/>
        <w:tabs>
          <w:tab w:val="right" w:pos="426"/>
        </w:tabs>
        <w:spacing w:before="120"/>
        <w:rPr>
          <w:b/>
          <w:lang w:eastAsia="ru-RU"/>
        </w:rPr>
      </w:pPr>
      <w:r>
        <w:rPr>
          <w:b/>
          <w:lang w:eastAsia="ru-RU"/>
        </w:rPr>
        <w:t xml:space="preserve">26. Adresa la care trebuie transmise ofertele sau cererile de participare: </w:t>
      </w:r>
    </w:p>
    <w:p w14:paraId="0DC7C730">
      <w:pPr>
        <w:shd w:val="clear" w:color="auto" w:fill="FFFFFF"/>
        <w:tabs>
          <w:tab w:val="right" w:pos="426"/>
        </w:tabs>
        <w:spacing w:before="120"/>
        <w:rPr>
          <w:b/>
          <w:i/>
          <w:lang w:eastAsia="ru-RU"/>
        </w:rPr>
      </w:pPr>
      <w:r>
        <w:rPr>
          <w:b/>
          <w:i/>
          <w:lang w:eastAsia="ru-RU"/>
        </w:rPr>
        <w:t>Ofertele sau cererile de participare vor fi depuse electronic prin intermediul platformei achiziții.md</w:t>
      </w:r>
    </w:p>
    <w:p w14:paraId="4431336F">
      <w:pPr>
        <w:shd w:val="clear" w:color="auto" w:fill="FFFFFF"/>
        <w:tabs>
          <w:tab w:val="right" w:pos="426"/>
        </w:tabs>
        <w:spacing w:before="120"/>
        <w:rPr>
          <w:b/>
          <w:lang w:eastAsia="ru-RU"/>
        </w:rPr>
      </w:pPr>
      <w:r>
        <w:rPr>
          <w:b/>
          <w:lang w:eastAsia="ru-RU"/>
        </w:rPr>
        <w:t xml:space="preserve">27. Termenul de valabilitate a ofertelor: 30 zile                                                                  </w:t>
      </w:r>
    </w:p>
    <w:p w14:paraId="2E8F0F9A">
      <w:pPr>
        <w:tabs>
          <w:tab w:val="right" w:pos="426"/>
        </w:tabs>
        <w:spacing w:before="120"/>
        <w:rPr>
          <w:b/>
          <w:lang w:eastAsia="ru-RU"/>
        </w:rPr>
      </w:pPr>
      <w:r>
        <w:rPr>
          <w:b/>
          <w:lang w:eastAsia="ru-RU"/>
        </w:rPr>
        <w:t>28. locul deschiderii ofertelor: prin intermediul platformei achiziții.md, conform anunțului</w:t>
      </w:r>
    </w:p>
    <w:p w14:paraId="41565E76">
      <w:pPr>
        <w:shd w:val="clear" w:color="auto" w:fill="FFFFFF"/>
        <w:tabs>
          <w:tab w:val="left" w:pos="360"/>
          <w:tab w:val="left" w:pos="1800"/>
          <w:tab w:val="left" w:pos="3240"/>
        </w:tabs>
        <w:spacing w:after="120"/>
        <w:ind w:left="360"/>
        <w:rPr>
          <w:b/>
          <w:i/>
          <w:lang w:eastAsia="ru-RU"/>
        </w:rPr>
      </w:pPr>
      <w:r>
        <w:rPr>
          <w:b/>
          <w:i/>
          <w:lang w:eastAsia="ru-RU"/>
        </w:rPr>
        <w:t xml:space="preserve">    Ofertele întârziate vor fi respinse. </w:t>
      </w:r>
    </w:p>
    <w:p w14:paraId="2972B4B4">
      <w:pPr>
        <w:shd w:val="clear" w:color="auto" w:fill="FFFFFF"/>
        <w:tabs>
          <w:tab w:val="right" w:pos="426"/>
        </w:tabs>
        <w:spacing w:before="120"/>
        <w:jc w:val="both"/>
        <w:rPr>
          <w:b/>
          <w:lang w:val="it-IT" w:eastAsia="ru-RU"/>
        </w:rPr>
      </w:pPr>
      <w:r>
        <w:rPr>
          <w:b/>
          <w:lang w:val="it-IT" w:eastAsia="ru-RU"/>
        </w:rPr>
        <w:t xml:space="preserve">29. Persoanele autorizate să asiste la deschiderea ofertelor: </w:t>
      </w:r>
    </w:p>
    <w:p w14:paraId="308B1D15">
      <w:pPr>
        <w:numPr>
          <w:ilvl w:val="0"/>
          <w:numId w:val="11"/>
        </w:numPr>
        <w:shd w:val="clear" w:color="auto" w:fill="FFFFFF"/>
        <w:tabs>
          <w:tab w:val="right" w:pos="426"/>
        </w:tabs>
        <w:spacing w:before="120"/>
        <w:jc w:val="both"/>
        <w:rPr>
          <w:b/>
          <w:i/>
          <w:lang w:eastAsia="ru-RU"/>
        </w:rPr>
      </w:pPr>
      <w:r>
        <w:rPr>
          <w:b/>
          <w:i/>
          <w:lang w:val="it-IT" w:eastAsia="ru-RU"/>
        </w:rPr>
        <w:t xml:space="preserve">Ofertanții sau reprezentanții acestora au dreptul să participe la deschiderea ofertelor, cu excepția cazului cînd ofertele au fost depuse prin </w:t>
      </w:r>
      <w:r>
        <w:rPr>
          <w:b/>
          <w:i/>
          <w:lang w:eastAsia="ru-RU"/>
        </w:rPr>
        <w:t>intermediu platformei achiziții.md</w:t>
      </w:r>
      <w:r>
        <w:rPr>
          <w:b/>
          <w:i/>
          <w:lang w:val="it-IT" w:eastAsia="ru-RU"/>
        </w:rPr>
        <w:t>, conform anunțului</w:t>
      </w:r>
    </w:p>
    <w:p w14:paraId="63E7713D">
      <w:pPr>
        <w:shd w:val="clear" w:color="auto" w:fill="FFFFFF"/>
        <w:tabs>
          <w:tab w:val="right" w:pos="426"/>
        </w:tabs>
        <w:spacing w:before="120"/>
        <w:rPr>
          <w:b/>
          <w:lang w:val="it-IT" w:eastAsia="ru-RU"/>
        </w:rPr>
      </w:pPr>
      <w:r>
        <w:rPr>
          <w:b/>
          <w:lang w:val="it-IT" w:eastAsia="ru-RU"/>
        </w:rPr>
        <w:t>30. Limba sau limbile în care trebuie redactate ofertele sau cererile de participare: limba de Stat</w:t>
      </w:r>
    </w:p>
    <w:p w14:paraId="40F01D5B">
      <w:pPr>
        <w:shd w:val="clear" w:color="auto" w:fill="FFFFFF"/>
        <w:tabs>
          <w:tab w:val="right" w:pos="426"/>
        </w:tabs>
        <w:spacing w:before="120"/>
        <w:rPr>
          <w:b/>
          <w:lang w:val="it-IT" w:eastAsia="ru-RU"/>
        </w:rPr>
      </w:pPr>
      <w:r>
        <w:rPr>
          <w:b/>
          <w:lang w:val="it-IT" w:eastAsia="ru-RU"/>
        </w:rPr>
        <w:t>31. Respectivul contract se referă la un proiect și/sau program finanțat din fonduri ale Uniunii Europene: nu se cere</w:t>
      </w:r>
    </w:p>
    <w:p w14:paraId="56A310FC">
      <w:pPr>
        <w:shd w:val="clear" w:color="auto" w:fill="FFFFFF"/>
        <w:tabs>
          <w:tab w:val="right" w:pos="426"/>
        </w:tabs>
        <w:spacing w:before="120"/>
        <w:rPr>
          <w:b/>
          <w:lang w:val="it-IT" w:eastAsia="ru-RU"/>
        </w:rPr>
      </w:pPr>
      <w:r>
        <w:rPr>
          <w:b/>
          <w:lang w:val="it-IT" w:eastAsia="ru-RU"/>
        </w:rPr>
        <w:t xml:space="preserve">32. Denumirea și adresa organismului competent de soluționare a contestațiilor: </w:t>
      </w:r>
    </w:p>
    <w:p w14:paraId="48CF8716">
      <w:pPr>
        <w:shd w:val="clear" w:color="auto" w:fill="FFFFFF"/>
        <w:tabs>
          <w:tab w:val="right" w:pos="426"/>
        </w:tabs>
        <w:ind w:left="450"/>
        <w:rPr>
          <w:b/>
          <w:i/>
          <w:lang w:val="it-IT" w:eastAsia="ru-RU"/>
        </w:rPr>
      </w:pPr>
      <w:r>
        <w:rPr>
          <w:b/>
          <w:i/>
          <w:lang w:val="it-IT" w:eastAsia="ru-RU"/>
        </w:rPr>
        <w:t>Agenția Națională pentru Soluționarea Contestațiilor</w:t>
      </w:r>
    </w:p>
    <w:p w14:paraId="5C7E3447">
      <w:pPr>
        <w:shd w:val="clear" w:color="auto" w:fill="FFFFFF"/>
        <w:tabs>
          <w:tab w:val="right" w:pos="426"/>
        </w:tabs>
        <w:ind w:left="450"/>
        <w:rPr>
          <w:b/>
          <w:i/>
          <w:lang w:val="it-IT" w:eastAsia="ru-RU"/>
        </w:rPr>
      </w:pPr>
      <w:r>
        <w:rPr>
          <w:b/>
          <w:i/>
          <w:lang w:val="it-IT" w:eastAsia="ru-RU"/>
        </w:rPr>
        <w:t>Adresa: mun. Chișinău, bd. Ștefan cel Mare și Sfânt nr.124 (et.4), MD 2001;</w:t>
      </w:r>
    </w:p>
    <w:p w14:paraId="70A86719">
      <w:pPr>
        <w:shd w:val="clear" w:color="auto" w:fill="FFFFFF"/>
        <w:tabs>
          <w:tab w:val="right" w:pos="426"/>
        </w:tabs>
        <w:ind w:left="450"/>
        <w:rPr>
          <w:b/>
          <w:i/>
          <w:lang w:val="en-US" w:eastAsia="ru-RU"/>
        </w:rPr>
      </w:pPr>
      <w:r>
        <w:rPr>
          <w:b/>
          <w:i/>
          <w:lang w:val="en-US" w:eastAsia="ru-RU"/>
        </w:rPr>
        <w:t>Tel/Fax/email:022-820 652, 022 820-651, contestatii@ansc.md</w:t>
      </w:r>
    </w:p>
    <w:p w14:paraId="07882C16">
      <w:pPr>
        <w:shd w:val="clear" w:color="auto" w:fill="FFFFFF"/>
        <w:tabs>
          <w:tab w:val="right" w:pos="426"/>
        </w:tabs>
        <w:spacing w:before="120"/>
        <w:rPr>
          <w:b/>
          <w:lang w:val="it-IT" w:eastAsia="ru-RU"/>
        </w:rPr>
      </w:pPr>
      <w:r>
        <w:rPr>
          <w:b/>
          <w:lang w:val="it-IT" w:eastAsia="ru-RU"/>
        </w:rPr>
        <w:t>33. Data (datele) și referința (referințele) publicărilor anterioare în Jurnalul Oficial al Uniunii Europene privind contractul (contractele) la care se referă anunțul respectiv (dacă este cazul): nu se cere</w:t>
      </w:r>
    </w:p>
    <w:p w14:paraId="0E10012A">
      <w:pPr>
        <w:shd w:val="clear" w:color="auto" w:fill="FFFFFF"/>
        <w:tabs>
          <w:tab w:val="right" w:pos="426"/>
        </w:tabs>
        <w:spacing w:before="120"/>
        <w:jc w:val="both"/>
        <w:rPr>
          <w:b/>
          <w:lang w:val="it-IT" w:eastAsia="ru-RU"/>
        </w:rPr>
      </w:pPr>
      <w:r>
        <w:rPr>
          <w:b/>
          <w:lang w:val="it-IT" w:eastAsia="ru-RU"/>
        </w:rPr>
        <w:t>34. În cazul achizițiilor periodice, calendarul estimat pentru publicarea anunțurilor viitoare</w:t>
      </w:r>
      <w:r>
        <w:rPr>
          <w:b/>
          <w:shd w:val="clear" w:color="auto" w:fill="FFFFFF"/>
          <w:lang w:val="it-IT" w:eastAsia="ru-RU"/>
        </w:rPr>
        <w:t>:</w:t>
      </w:r>
    </w:p>
    <w:p w14:paraId="17097271">
      <w:pPr>
        <w:shd w:val="clear" w:color="auto" w:fill="FFFFFF"/>
        <w:tabs>
          <w:tab w:val="right" w:pos="426"/>
        </w:tabs>
        <w:spacing w:before="120"/>
        <w:jc w:val="both"/>
        <w:rPr>
          <w:b/>
          <w:lang w:val="it-IT" w:eastAsia="ru-RU"/>
        </w:rPr>
      </w:pPr>
      <w:r>
        <w:rPr>
          <w:b/>
          <w:lang w:val="it-IT" w:eastAsia="ru-RU"/>
        </w:rPr>
        <w:t xml:space="preserve">35. Data publicării anunțului de intenție sau, după caz, precizarea că nu a fost publicat un astfel de </w:t>
      </w:r>
      <w:r>
        <w:rPr>
          <w:b/>
          <w:shd w:val="clear" w:color="auto" w:fill="FFFFFF"/>
          <w:lang w:val="it-IT" w:eastAsia="ru-RU"/>
        </w:rPr>
        <w:t>anunţ: nu a fost</w:t>
      </w:r>
    </w:p>
    <w:p w14:paraId="607805C8">
      <w:pPr>
        <w:shd w:val="clear" w:color="auto" w:fill="FFFFFF"/>
        <w:tabs>
          <w:tab w:val="right" w:pos="426"/>
        </w:tabs>
        <w:spacing w:before="120"/>
        <w:jc w:val="both"/>
        <w:rPr>
          <w:b/>
          <w:lang w:val="it-IT" w:eastAsia="ru-RU"/>
        </w:rPr>
      </w:pPr>
      <w:r>
        <w:rPr>
          <w:b/>
          <w:lang w:val="it-IT" w:eastAsia="ru-RU"/>
        </w:rPr>
        <w:t>36. 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4956"/>
        <w:gridCol w:w="3580"/>
      </w:tblGrid>
      <w:tr w14:paraId="00BF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7782B45A">
            <w:pPr>
              <w:shd w:val="clear" w:color="auto" w:fill="FFFFFF"/>
              <w:tabs>
                <w:tab w:val="right" w:pos="426"/>
              </w:tabs>
              <w:rPr>
                <w:b/>
                <w:lang w:eastAsia="ru-RU"/>
              </w:rPr>
            </w:pPr>
            <w:r>
              <w:rPr>
                <w:b/>
                <w:lang w:eastAsia="ru-RU"/>
              </w:rPr>
              <w:t>Denumirea instrumentului electronic</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6C4DD3B5">
            <w:pPr>
              <w:shd w:val="clear" w:color="auto" w:fill="FFFFFF"/>
              <w:tabs>
                <w:tab w:val="right" w:pos="426"/>
              </w:tabs>
              <w:rPr>
                <w:b/>
                <w:lang w:eastAsia="ru-RU"/>
              </w:rPr>
            </w:pPr>
            <w:r>
              <w:rPr>
                <w:b/>
                <w:lang w:eastAsia="ru-RU"/>
              </w:rPr>
              <w:t>Se va utiliza/accepta sau nu</w:t>
            </w:r>
          </w:p>
        </w:tc>
      </w:tr>
      <w:tr w14:paraId="6424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573802A6">
            <w:pPr>
              <w:shd w:val="clear" w:color="auto" w:fill="FFFFFF"/>
              <w:tabs>
                <w:tab w:val="right" w:pos="426"/>
              </w:tabs>
              <w:rPr>
                <w:lang w:eastAsia="ru-RU"/>
              </w:rPr>
            </w:pPr>
            <w:r>
              <w:rPr>
                <w:lang w:eastAsia="ru-RU"/>
              </w:rPr>
              <w:t>Depunerea electronică a ofertelor sau a cererilor de participare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1ACA762C">
            <w:pPr>
              <w:shd w:val="clear" w:color="auto" w:fill="FFFFFF"/>
              <w:tabs>
                <w:tab w:val="right" w:pos="426"/>
              </w:tabs>
              <w:rPr>
                <w:lang w:eastAsia="ru-RU"/>
              </w:rPr>
            </w:pPr>
            <w:r>
              <w:rPr>
                <w:lang w:eastAsia="ru-RU"/>
              </w:rPr>
              <w:t>Se acceptă</w:t>
            </w:r>
          </w:p>
        </w:tc>
      </w:tr>
      <w:tr w14:paraId="2F0AA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5A49062F">
            <w:pPr>
              <w:shd w:val="clear" w:color="auto" w:fill="FFFFFF"/>
              <w:tabs>
                <w:tab w:val="right" w:pos="426"/>
              </w:tabs>
              <w:rPr>
                <w:lang w:eastAsia="ru-RU"/>
              </w:rPr>
            </w:pPr>
            <w:r>
              <w:rPr>
                <w:lang w:eastAsia="ru-RU"/>
              </w:rPr>
              <w:t>Sistemul de comenzi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3E7F2712">
            <w:pPr>
              <w:shd w:val="clear" w:color="auto" w:fill="FFFFFF"/>
              <w:tabs>
                <w:tab w:val="right" w:pos="426"/>
              </w:tabs>
              <w:rPr>
                <w:lang w:eastAsia="ru-RU"/>
              </w:rPr>
            </w:pPr>
            <w:r>
              <w:rPr>
                <w:lang w:eastAsia="ru-RU"/>
              </w:rPr>
              <w:t>Se acceptă</w:t>
            </w:r>
          </w:p>
        </w:tc>
      </w:tr>
      <w:tr w14:paraId="7FF1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47246D30">
            <w:pPr>
              <w:shd w:val="clear" w:color="auto" w:fill="FFFFFF"/>
              <w:tabs>
                <w:tab w:val="right" w:pos="426"/>
              </w:tabs>
              <w:rPr>
                <w:lang w:eastAsia="ru-RU"/>
              </w:rPr>
            </w:pPr>
            <w:r>
              <w:rPr>
                <w:lang w:eastAsia="ru-RU"/>
              </w:rPr>
              <w:t>Facturarea electronică</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5B7DB0B7">
            <w:pPr>
              <w:shd w:val="clear" w:color="auto" w:fill="FFFFFF"/>
              <w:tabs>
                <w:tab w:val="right" w:pos="426"/>
              </w:tabs>
              <w:rPr>
                <w:lang w:eastAsia="ru-RU"/>
              </w:rPr>
            </w:pPr>
            <w:r>
              <w:rPr>
                <w:lang w:eastAsia="ru-RU"/>
              </w:rPr>
              <w:t>Se acceptă</w:t>
            </w:r>
          </w:p>
        </w:tc>
      </w:tr>
      <w:tr w14:paraId="7FAE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tcBorders>
              <w:top w:val="single" w:color="auto" w:sz="4" w:space="0"/>
              <w:left w:val="single" w:color="auto" w:sz="4" w:space="0"/>
              <w:bottom w:val="single" w:color="auto" w:sz="4" w:space="0"/>
              <w:right w:val="single" w:color="auto" w:sz="4" w:space="0"/>
            </w:tcBorders>
            <w:shd w:val="clear" w:color="auto" w:fill="FFFFFF"/>
          </w:tcPr>
          <w:p w14:paraId="63649D78">
            <w:pPr>
              <w:shd w:val="clear" w:color="auto" w:fill="FFFFFF"/>
              <w:tabs>
                <w:tab w:val="right" w:pos="426"/>
              </w:tabs>
              <w:rPr>
                <w:lang w:eastAsia="ru-RU"/>
              </w:rPr>
            </w:pPr>
            <w:r>
              <w:rPr>
                <w:lang w:eastAsia="ru-RU"/>
              </w:rPr>
              <w:t>Plățile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25F9EAB9">
            <w:pPr>
              <w:shd w:val="clear" w:color="auto" w:fill="FFFFFF"/>
              <w:tabs>
                <w:tab w:val="right" w:pos="426"/>
              </w:tabs>
              <w:rPr>
                <w:lang w:eastAsia="ru-RU"/>
              </w:rPr>
            </w:pPr>
            <w:r>
              <w:rPr>
                <w:lang w:eastAsia="ru-RU"/>
              </w:rPr>
              <w:t>Se acceptă</w:t>
            </w:r>
          </w:p>
        </w:tc>
      </w:tr>
    </w:tbl>
    <w:p w14:paraId="6528FB18">
      <w:pPr>
        <w:shd w:val="clear" w:color="auto" w:fill="FFFFFF"/>
        <w:tabs>
          <w:tab w:val="right" w:pos="426"/>
        </w:tabs>
        <w:spacing w:before="120"/>
        <w:rPr>
          <w:sz w:val="20"/>
          <w:lang w:val="it-IT" w:eastAsia="ru-RU"/>
        </w:rPr>
      </w:pPr>
      <w:r>
        <w:rPr>
          <w:b/>
          <w:lang w:eastAsia="ru-RU"/>
        </w:rPr>
        <w:t>37. Contractul intră sub incidența Acordului privind achizițiile guvernamentale al Organizației Mondiale a Comerțului (numai în cazul anunțurilor transmise spre publicare în Jurnalul Oficial al Uniunii Europene): nu se cere</w:t>
      </w:r>
    </w:p>
    <w:p w14:paraId="7035AD18">
      <w:pPr>
        <w:shd w:val="clear" w:color="auto" w:fill="FFFFFF"/>
        <w:tabs>
          <w:tab w:val="right" w:pos="426"/>
        </w:tabs>
        <w:spacing w:before="120"/>
        <w:rPr>
          <w:b/>
          <w:lang w:eastAsia="ru-RU"/>
        </w:rPr>
      </w:pPr>
      <w:r>
        <w:rPr>
          <w:b/>
          <w:lang w:val="en-US" w:eastAsia="ru-RU"/>
        </w:rPr>
        <w:t xml:space="preserve">38. </w:t>
      </w:r>
      <w:r>
        <w:rPr>
          <w:b/>
          <w:lang w:eastAsia="ru-RU"/>
        </w:rPr>
        <w:t xml:space="preserve">Alte informații relevante: </w:t>
      </w:r>
    </w:p>
    <w:p w14:paraId="563E68B4">
      <w:pPr>
        <w:shd w:val="clear" w:color="auto" w:fill="FFFFFF"/>
        <w:tabs>
          <w:tab w:val="right" w:pos="426"/>
        </w:tabs>
        <w:spacing w:before="120"/>
        <w:rPr>
          <w:b/>
          <w:lang w:val="en-US" w:eastAsia="ru-RU"/>
        </w:rPr>
      </w:pPr>
      <w:r>
        <w:rPr>
          <w:b/>
          <w:lang w:eastAsia="ru-RU"/>
        </w:rPr>
        <w:t>Achitarea foilor de odihnă</w:t>
      </w:r>
      <w:r>
        <w:rPr>
          <w:b/>
          <w:lang w:val="en-US" w:eastAsia="ru-RU"/>
        </w:rPr>
        <w:t xml:space="preserve">: </w:t>
      </w:r>
    </w:p>
    <w:p w14:paraId="3343AC50">
      <w:pPr>
        <w:shd w:val="clear" w:color="auto" w:fill="FFFFFF"/>
        <w:tabs>
          <w:tab w:val="right" w:pos="426"/>
        </w:tabs>
        <w:spacing w:before="120"/>
        <w:rPr>
          <w:b/>
          <w:lang w:eastAsia="ru-RU"/>
        </w:rPr>
      </w:pPr>
      <w:r>
        <w:rPr>
          <w:b/>
          <w:lang w:eastAsia="ru-RU"/>
        </w:rPr>
        <w:t>Organizarea odihnei de vară în sezonul estival 202</w:t>
      </w:r>
      <w:r>
        <w:rPr>
          <w:rFonts w:hint="default"/>
          <w:b/>
          <w:lang w:val="en-US" w:eastAsia="ru-RU"/>
        </w:rPr>
        <w:t>6</w:t>
      </w:r>
      <w:r>
        <w:rPr>
          <w:b/>
          <w:lang w:eastAsia="ru-RU"/>
        </w:rPr>
        <w:t xml:space="preserve"> va fi în baza HG 2</w:t>
      </w:r>
      <w:r>
        <w:rPr>
          <w:rFonts w:hint="default"/>
          <w:b/>
          <w:lang w:val="en-US" w:eastAsia="ru-RU"/>
        </w:rPr>
        <w:t>4</w:t>
      </w:r>
      <w:r>
        <w:rPr>
          <w:b/>
          <w:lang w:eastAsia="ru-RU"/>
        </w:rPr>
        <w:t>2/202</w:t>
      </w:r>
      <w:r>
        <w:rPr>
          <w:rFonts w:hint="default"/>
          <w:b/>
          <w:lang w:val="en-US" w:eastAsia="ru-RU"/>
        </w:rPr>
        <w:t>6</w:t>
      </w:r>
      <w:r>
        <w:rPr>
          <w:b/>
          <w:lang w:eastAsia="ru-RU"/>
        </w:rPr>
        <w:t xml:space="preserve"> și conform legislației în vigoare.</w:t>
      </w:r>
    </w:p>
    <w:p w14:paraId="46365A9E">
      <w:pPr>
        <w:shd w:val="clear" w:color="auto" w:fill="FFFFFF"/>
        <w:spacing w:before="120" w:after="120"/>
        <w:rPr>
          <w:b/>
          <w:lang w:eastAsia="ru-RU"/>
        </w:rPr>
      </w:pPr>
    </w:p>
    <w:p w14:paraId="2E3F4C45">
      <w:pPr>
        <w:shd w:val="clear" w:color="auto" w:fill="FFFFFF"/>
        <w:spacing w:before="120" w:after="120"/>
        <w:rPr>
          <w:b/>
          <w:lang w:eastAsia="ru-RU"/>
        </w:rPr>
      </w:pPr>
    </w:p>
    <w:p w14:paraId="221A9700">
      <w:pPr>
        <w:shd w:val="clear" w:color="auto" w:fill="FFFFFF"/>
        <w:tabs>
          <w:tab w:val="left" w:pos="284"/>
          <w:tab w:val="left" w:pos="426"/>
          <w:tab w:val="decimal" w:pos="8364"/>
        </w:tabs>
        <w:spacing w:line="276" w:lineRule="auto"/>
        <w:ind w:left="-284" w:right="-144" w:firstLine="284"/>
        <w:rPr>
          <w:rFonts w:hint="default"/>
          <w:b/>
          <w:lang w:val="en-US" w:eastAsia="ru-RU"/>
        </w:rPr>
      </w:pPr>
      <w:r>
        <w:rPr>
          <w:b/>
          <w:lang w:val="it-IT" w:eastAsia="ru-RU"/>
        </w:rPr>
        <w:t xml:space="preserve">Șefă </w:t>
      </w:r>
      <w:r>
        <w:rPr>
          <w:rFonts w:hint="default"/>
          <w:b/>
          <w:lang w:val="en-US" w:eastAsia="ru-RU"/>
        </w:rPr>
        <w:t xml:space="preserve">sectie, </w:t>
      </w:r>
      <w:r>
        <w:rPr>
          <w:b/>
          <w:lang w:val="it-IT" w:eastAsia="ru-RU"/>
        </w:rPr>
        <w:t xml:space="preserve">Direcția Educație Dubăsari                                      </w:t>
      </w:r>
      <w:r>
        <w:rPr>
          <w:rFonts w:hint="default"/>
          <w:b/>
          <w:lang w:val="en-US" w:eastAsia="ru-RU"/>
        </w:rPr>
        <w:t>Violeta TOLSTENCO</w:t>
      </w:r>
    </w:p>
    <w:p w14:paraId="711F954B"/>
    <w:p w14:paraId="16F126AE">
      <w:pPr>
        <w:tabs>
          <w:tab w:val="decimal" w:pos="8364"/>
        </w:tabs>
        <w:spacing w:line="276" w:lineRule="auto"/>
        <w:ind w:right="-144"/>
        <w:jc w:val="center"/>
        <w:rPr>
          <w:b/>
          <w:bCs/>
          <w:color w:val="000000"/>
        </w:rPr>
      </w:pPr>
    </w:p>
    <w:p w14:paraId="42B2AAE6">
      <w:pPr>
        <w:tabs>
          <w:tab w:val="decimal" w:pos="8364"/>
        </w:tabs>
        <w:spacing w:line="276" w:lineRule="auto"/>
        <w:ind w:right="-144"/>
        <w:jc w:val="center"/>
        <w:rPr>
          <w:b/>
          <w:bCs/>
          <w:color w:val="000000"/>
        </w:rPr>
      </w:pPr>
    </w:p>
    <w:p w14:paraId="1D37628C">
      <w:pPr>
        <w:tabs>
          <w:tab w:val="decimal" w:pos="8364"/>
        </w:tabs>
        <w:spacing w:line="276" w:lineRule="auto"/>
        <w:ind w:right="-144"/>
        <w:jc w:val="center"/>
        <w:rPr>
          <w:b/>
          <w:bCs/>
          <w:color w:val="000000"/>
        </w:rPr>
      </w:pPr>
    </w:p>
    <w:p w14:paraId="4C84CC69">
      <w:pPr>
        <w:tabs>
          <w:tab w:val="decimal" w:pos="8364"/>
        </w:tabs>
        <w:spacing w:line="276" w:lineRule="auto"/>
        <w:ind w:right="-144"/>
        <w:jc w:val="center"/>
        <w:rPr>
          <w:b/>
          <w:bCs/>
          <w:color w:val="000000"/>
        </w:rPr>
      </w:pPr>
    </w:p>
    <w:p w14:paraId="301D5B6E">
      <w:pPr>
        <w:tabs>
          <w:tab w:val="decimal" w:pos="8364"/>
        </w:tabs>
        <w:spacing w:line="276" w:lineRule="auto"/>
        <w:ind w:right="-144"/>
        <w:jc w:val="center"/>
        <w:rPr>
          <w:b/>
          <w:bCs/>
          <w:color w:val="000000"/>
        </w:rPr>
      </w:pPr>
    </w:p>
    <w:p w14:paraId="4EBD0BED">
      <w:pPr>
        <w:tabs>
          <w:tab w:val="decimal" w:pos="8364"/>
        </w:tabs>
        <w:spacing w:line="276" w:lineRule="auto"/>
        <w:ind w:right="-144"/>
        <w:jc w:val="center"/>
        <w:rPr>
          <w:b/>
          <w:bCs/>
          <w:color w:val="000000"/>
        </w:rPr>
      </w:pPr>
    </w:p>
    <w:p w14:paraId="46024F89">
      <w:pPr>
        <w:tabs>
          <w:tab w:val="decimal" w:pos="8364"/>
        </w:tabs>
        <w:spacing w:line="276" w:lineRule="auto"/>
        <w:ind w:right="-144"/>
        <w:jc w:val="center"/>
        <w:rPr>
          <w:b/>
          <w:bCs/>
          <w:color w:val="000000"/>
        </w:rPr>
      </w:pPr>
    </w:p>
    <w:p w14:paraId="0B5071B5">
      <w:pPr>
        <w:tabs>
          <w:tab w:val="decimal" w:pos="8364"/>
        </w:tabs>
        <w:spacing w:line="276" w:lineRule="auto"/>
        <w:ind w:right="-144"/>
        <w:jc w:val="center"/>
        <w:rPr>
          <w:b/>
          <w:bCs/>
          <w:color w:val="000000"/>
        </w:rPr>
      </w:pPr>
    </w:p>
    <w:p w14:paraId="3E007D9E">
      <w:pPr>
        <w:tabs>
          <w:tab w:val="decimal" w:pos="8364"/>
        </w:tabs>
        <w:spacing w:line="276" w:lineRule="auto"/>
        <w:ind w:right="-144"/>
        <w:jc w:val="center"/>
        <w:rPr>
          <w:b/>
          <w:bCs/>
          <w:color w:val="000000"/>
        </w:rPr>
      </w:pPr>
    </w:p>
    <w:p w14:paraId="748EF8AD">
      <w:pPr>
        <w:tabs>
          <w:tab w:val="decimal" w:pos="8364"/>
        </w:tabs>
        <w:spacing w:line="276" w:lineRule="auto"/>
        <w:ind w:right="-144"/>
        <w:rPr>
          <w:b/>
          <w:bCs/>
          <w:color w:val="000000"/>
        </w:rPr>
      </w:pPr>
    </w:p>
    <w:p w14:paraId="1DDA3CDE">
      <w:pPr>
        <w:tabs>
          <w:tab w:val="decimal" w:pos="8364"/>
        </w:tabs>
        <w:spacing w:line="276" w:lineRule="auto"/>
        <w:ind w:right="-144"/>
        <w:jc w:val="center"/>
        <w:rPr>
          <w:b/>
          <w:bCs/>
          <w:color w:val="000000"/>
        </w:rPr>
      </w:pPr>
    </w:p>
    <w:p w14:paraId="0B2210D2">
      <w:pPr>
        <w:tabs>
          <w:tab w:val="decimal" w:pos="8364"/>
        </w:tabs>
        <w:spacing w:line="276" w:lineRule="auto"/>
        <w:ind w:right="-144"/>
        <w:jc w:val="center"/>
        <w:rPr>
          <w:b/>
          <w:bCs/>
          <w:color w:val="000000"/>
        </w:rPr>
      </w:pPr>
    </w:p>
    <w:p w14:paraId="1E344472">
      <w:pPr>
        <w:tabs>
          <w:tab w:val="decimal" w:pos="8364"/>
        </w:tabs>
        <w:spacing w:line="276" w:lineRule="auto"/>
        <w:ind w:right="-144"/>
        <w:jc w:val="center"/>
        <w:rPr>
          <w:b/>
          <w:bCs/>
          <w:color w:val="000000"/>
        </w:rPr>
      </w:pPr>
    </w:p>
    <w:p w14:paraId="64BEE2C0">
      <w:pPr>
        <w:tabs>
          <w:tab w:val="decimal" w:pos="8364"/>
        </w:tabs>
        <w:spacing w:line="276" w:lineRule="auto"/>
        <w:ind w:right="-144"/>
        <w:jc w:val="center"/>
        <w:rPr>
          <w:b/>
          <w:bCs/>
          <w:color w:val="000000"/>
        </w:rPr>
      </w:pPr>
    </w:p>
    <w:p w14:paraId="07011AB1">
      <w:pPr>
        <w:tabs>
          <w:tab w:val="decimal" w:pos="8364"/>
        </w:tabs>
        <w:spacing w:line="276" w:lineRule="auto"/>
        <w:ind w:right="-144"/>
        <w:jc w:val="center"/>
        <w:rPr>
          <w:b/>
          <w:bCs/>
          <w:color w:val="000000"/>
        </w:rPr>
      </w:pPr>
    </w:p>
    <w:p w14:paraId="1C8A393A">
      <w:pPr>
        <w:tabs>
          <w:tab w:val="decimal" w:pos="8364"/>
        </w:tabs>
        <w:spacing w:line="276" w:lineRule="auto"/>
        <w:ind w:right="-144"/>
        <w:jc w:val="center"/>
        <w:rPr>
          <w:b/>
          <w:bCs/>
          <w:color w:val="000000"/>
        </w:rPr>
      </w:pPr>
    </w:p>
    <w:p w14:paraId="528933FA">
      <w:pPr>
        <w:tabs>
          <w:tab w:val="decimal" w:pos="8364"/>
        </w:tabs>
        <w:spacing w:line="276" w:lineRule="auto"/>
        <w:ind w:right="-144"/>
        <w:rPr>
          <w:b/>
          <w:bCs/>
          <w:color w:val="000000"/>
        </w:rPr>
      </w:pPr>
    </w:p>
    <w:p w14:paraId="64A68910">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2"/>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1"/>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1"/>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2"/>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2"/>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2"/>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656FEA03">
      <w:pPr>
        <w:pStyle w:val="74"/>
        <w:tabs>
          <w:tab w:val="left" w:pos="567"/>
        </w:tabs>
        <w:spacing w:before="0" w:beforeAutospacing="0" w:after="0"/>
        <w:ind w:left="0" w:firstLine="0"/>
        <w:rPr>
          <w:rFonts w:eastAsia="PMingLiU"/>
          <w:lang w:val="ro-RO" w:eastAsia="zh-CN"/>
        </w:rPr>
      </w:pPr>
    </w:p>
    <w:p w14:paraId="43218FCE">
      <w:pPr>
        <w:pStyle w:val="74"/>
        <w:tabs>
          <w:tab w:val="left" w:pos="567"/>
        </w:tabs>
        <w:spacing w:before="0" w:beforeAutospacing="0" w:after="0"/>
        <w:ind w:left="0" w:firstLine="0"/>
        <w:rPr>
          <w:rFonts w:eastAsia="PMingLiU"/>
          <w:lang w:val="ro-RO" w:eastAsia="zh-CN"/>
        </w:rPr>
      </w:pPr>
    </w:p>
    <w:p w14:paraId="249559E6">
      <w:pPr>
        <w:pStyle w:val="74"/>
        <w:tabs>
          <w:tab w:val="left" w:pos="567"/>
        </w:tabs>
        <w:spacing w:before="0" w:beforeAutospacing="0" w:after="0"/>
        <w:ind w:left="0" w:firstLine="0"/>
        <w:rPr>
          <w:rFonts w:eastAsia="PMingLiU"/>
          <w:lang w:val="ro-RO" w:eastAsia="zh-CN"/>
        </w:rPr>
      </w:pPr>
    </w:p>
    <w:p w14:paraId="64334365">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6"/>
        </w:numPr>
        <w:tabs>
          <w:tab w:val="left" w:pos="567"/>
          <w:tab w:val="left" w:pos="1080"/>
          <w:tab w:val="clear" w:pos="1069"/>
        </w:tabs>
        <w:ind w:left="0" w:firstLine="0"/>
        <w:jc w:val="both"/>
      </w:pPr>
      <w:r>
        <w:t>____________________________________________________________________</w:t>
      </w:r>
    </w:p>
    <w:p w14:paraId="22A71E9D">
      <w:pPr>
        <w:numPr>
          <w:ilvl w:val="0"/>
          <w:numId w:val="16"/>
        </w:numPr>
        <w:tabs>
          <w:tab w:val="left" w:pos="567"/>
          <w:tab w:val="left" w:pos="1080"/>
          <w:tab w:val="clear" w:pos="1069"/>
        </w:tabs>
        <w:ind w:left="0" w:firstLine="0"/>
        <w:jc w:val="both"/>
      </w:pPr>
      <w:r>
        <w:t>____________________________________________________________________</w:t>
      </w:r>
    </w:p>
    <w:p w14:paraId="004E2A8E">
      <w:pPr>
        <w:numPr>
          <w:ilvl w:val="0"/>
          <w:numId w:val="16"/>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5869C77F">
      <w:pPr>
        <w:keepNext/>
        <w:keepLines/>
        <w:jc w:val="center"/>
        <w:outlineLvl w:val="1"/>
        <w:rPr>
          <w:rFonts w:eastAsiaTheme="majorEastAsia"/>
          <w:b/>
          <w:bCs/>
        </w:rPr>
      </w:pPr>
    </w:p>
    <w:p w14:paraId="2249E1F4">
      <w:pPr>
        <w:keepNext/>
        <w:keepLines/>
        <w:jc w:val="center"/>
        <w:outlineLvl w:val="1"/>
        <w:rPr>
          <w:rFonts w:eastAsiaTheme="majorEastAsia"/>
          <w:b/>
          <w:bCs/>
        </w:rPr>
      </w:pPr>
    </w:p>
    <w:p w14:paraId="244A1542">
      <w:pPr>
        <w:keepNext/>
        <w:keepLines/>
        <w:jc w:val="center"/>
        <w:outlineLvl w:val="1"/>
        <w:rPr>
          <w:rFonts w:eastAsiaTheme="majorEastAsia"/>
          <w:b/>
          <w:bCs/>
        </w:rPr>
      </w:pPr>
    </w:p>
    <w:p w14:paraId="2BF7974F">
      <w:pPr>
        <w:keepNext/>
        <w:keepLines/>
        <w:jc w:val="center"/>
        <w:outlineLvl w:val="1"/>
        <w:rPr>
          <w:rFonts w:eastAsiaTheme="majorEastAsia"/>
          <w:b/>
          <w:bCs/>
        </w:rPr>
      </w:pPr>
    </w:p>
    <w:p w14:paraId="12822831">
      <w:pPr>
        <w:keepNext/>
        <w:keepLines/>
        <w:jc w:val="center"/>
        <w:outlineLvl w:val="1"/>
        <w:rPr>
          <w:rFonts w:eastAsiaTheme="majorEastAsia"/>
          <w:b/>
          <w:bCs/>
        </w:rPr>
      </w:pPr>
    </w:p>
    <w:p w14:paraId="64D18469">
      <w:pPr>
        <w:keepNext/>
        <w:keepLines/>
        <w:jc w:val="center"/>
        <w:outlineLvl w:val="1"/>
        <w:rPr>
          <w:rFonts w:eastAsiaTheme="majorEastAsia"/>
          <w:b/>
          <w:bCs/>
        </w:rPr>
      </w:pPr>
    </w:p>
    <w:p w14:paraId="05B2D9B5">
      <w:pPr>
        <w:keepNext/>
        <w:keepLines/>
        <w:jc w:val="center"/>
        <w:outlineLvl w:val="1"/>
        <w:rPr>
          <w:rFonts w:eastAsiaTheme="majorEastAsia"/>
          <w:b/>
          <w:bCs/>
        </w:rPr>
      </w:pPr>
    </w:p>
    <w:p w14:paraId="49F70E55">
      <w:pPr>
        <w:keepNext/>
        <w:keepLines/>
        <w:jc w:val="center"/>
        <w:outlineLvl w:val="1"/>
        <w:rPr>
          <w:rFonts w:eastAsiaTheme="majorEastAsia"/>
          <w:b/>
          <w:bCs/>
        </w:rPr>
      </w:pPr>
    </w:p>
    <w:p w14:paraId="2B8ECEEE">
      <w:pPr>
        <w:keepNext/>
        <w:keepLines/>
        <w:jc w:val="center"/>
        <w:outlineLvl w:val="1"/>
        <w:rPr>
          <w:rFonts w:eastAsiaTheme="majorEastAsia"/>
          <w:b/>
          <w:bCs/>
        </w:rPr>
      </w:pPr>
    </w:p>
    <w:p w14:paraId="7EF3F6C4">
      <w:pPr>
        <w:keepNext/>
        <w:keepLines/>
        <w:jc w:val="center"/>
        <w:outlineLvl w:val="1"/>
        <w:rPr>
          <w:rFonts w:eastAsiaTheme="majorEastAsia"/>
          <w:b/>
          <w:bCs/>
        </w:rPr>
      </w:pPr>
    </w:p>
    <w:p w14:paraId="189F86B4">
      <w:pPr>
        <w:keepNext/>
        <w:keepLines/>
        <w:jc w:val="center"/>
        <w:outlineLvl w:val="1"/>
        <w:rPr>
          <w:rFonts w:eastAsiaTheme="majorEastAsia"/>
          <w:b/>
          <w:bCs/>
        </w:rPr>
      </w:pPr>
      <w:r>
        <w:rPr>
          <w:rFonts w:eastAsiaTheme="majorEastAsia"/>
          <w:b/>
          <w:bCs/>
        </w:rPr>
        <w:t>\</w:t>
      </w:r>
    </w:p>
    <w:p w14:paraId="092472BF">
      <w:pPr>
        <w:keepNext/>
        <w:keepLines/>
        <w:jc w:val="center"/>
        <w:outlineLvl w:val="1"/>
        <w:rPr>
          <w:rFonts w:eastAsiaTheme="majorEastAsia"/>
          <w:b/>
          <w:bCs/>
        </w:rPr>
      </w:pPr>
    </w:p>
    <w:p w14:paraId="3DA30D4A">
      <w:pPr>
        <w:keepNext/>
        <w:keepLines/>
        <w:jc w:val="center"/>
        <w:outlineLvl w:val="1"/>
        <w:rPr>
          <w:rFonts w:eastAsiaTheme="majorEastAsia"/>
          <w:b/>
          <w:bCs/>
        </w:rPr>
      </w:pPr>
    </w:p>
    <w:p w14:paraId="758C98BE">
      <w:pPr>
        <w:keepNext/>
        <w:keepLines/>
        <w:jc w:val="center"/>
        <w:outlineLvl w:val="1"/>
        <w:rPr>
          <w:rFonts w:eastAsiaTheme="majorEastAsia"/>
          <w:b/>
          <w:bCs/>
        </w:rPr>
      </w:pPr>
    </w:p>
    <w:p w14:paraId="20561437">
      <w:pPr>
        <w:keepNext/>
        <w:keepLines/>
        <w:jc w:val="center"/>
        <w:outlineLvl w:val="1"/>
        <w:rPr>
          <w:rFonts w:eastAsiaTheme="majorEastAsia"/>
          <w:b/>
          <w:bCs/>
        </w:rPr>
      </w:pPr>
    </w:p>
    <w:p w14:paraId="6E93C4BA">
      <w:pPr>
        <w:keepNext/>
        <w:keepLines/>
        <w:jc w:val="center"/>
        <w:outlineLvl w:val="1"/>
        <w:rPr>
          <w:rFonts w:eastAsiaTheme="majorEastAsia"/>
          <w:b/>
          <w:bCs/>
        </w:rPr>
      </w:pPr>
    </w:p>
    <w:p w14:paraId="2E7A9467">
      <w:pPr>
        <w:keepNext/>
        <w:keepLines/>
        <w:jc w:val="center"/>
        <w:outlineLvl w:val="1"/>
        <w:rPr>
          <w:rFonts w:eastAsiaTheme="majorEastAsia"/>
          <w:b/>
          <w:bCs/>
        </w:rPr>
      </w:pPr>
    </w:p>
    <w:p w14:paraId="0CF839B8">
      <w:pPr>
        <w:keepNext/>
        <w:keepLines/>
        <w:jc w:val="center"/>
        <w:outlineLvl w:val="1"/>
        <w:rPr>
          <w:rFonts w:eastAsiaTheme="majorEastAsia"/>
          <w:b/>
          <w:bCs/>
        </w:rPr>
      </w:pPr>
    </w:p>
    <w:p w14:paraId="69B6BA5E">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bookmarkEnd w:id="106"/>
    <w:p w14:paraId="1F8C557B">
      <w:pPr>
        <w:keepNext/>
        <w:keepLines/>
        <w:jc w:val="center"/>
        <w:outlineLvl w:val="1"/>
        <w:rPr>
          <w:b/>
        </w:rPr>
      </w:pPr>
      <w:bookmarkStart w:id="107" w:name="_Hlk77771358"/>
      <w:r>
        <w:rPr>
          <w:b/>
        </w:rPr>
        <w:t>CAIET DE SARCINI</w:t>
      </w:r>
    </w:p>
    <w:bookmarkEnd w:id="107"/>
    <w:p w14:paraId="65B80E8C">
      <w:pPr>
        <w:keepNext/>
        <w:keepLines/>
        <w:jc w:val="center"/>
        <w:outlineLvl w:val="1"/>
        <w:rPr>
          <w:b/>
        </w:rPr>
      </w:pPr>
      <w:r>
        <w:rPr>
          <w:b/>
        </w:rPr>
        <w:t>Servicii/Servicii</w:t>
      </w:r>
    </w:p>
    <w:p w14:paraId="6112F9E8">
      <w:pPr>
        <w:keepNext/>
        <w:keepLines/>
        <w:jc w:val="center"/>
        <w:outlineLvl w:val="1"/>
        <w:rPr>
          <w:b/>
        </w:rPr>
      </w:pPr>
    </w:p>
    <w:p w14:paraId="300A2C73">
      <w:pPr>
        <w:jc w:val="both"/>
        <w:rPr>
          <w:b/>
          <w:i/>
          <w:sz w:val="22"/>
          <w:szCs w:val="22"/>
          <w:u w:val="single"/>
        </w:rPr>
      </w:pPr>
      <w:r>
        <w:rPr>
          <w:bCs/>
          <w:sz w:val="22"/>
          <w:szCs w:val="22"/>
        </w:rPr>
        <w:t xml:space="preserve">Obiectul   </w:t>
      </w:r>
      <w:r>
        <w:rPr>
          <w:b/>
          <w:color w:val="5B9BD5"/>
          <w:sz w:val="22"/>
          <w:szCs w:val="22"/>
          <w:u w:val="single"/>
          <w:lang w:val="en-TT"/>
        </w:rPr>
        <w:t>Achiziționarea foilor de odihnă în tabere de odihnă în sezonul estival 2025</w:t>
      </w:r>
    </w:p>
    <w:p w14:paraId="1157F239">
      <w:pPr>
        <w:shd w:val="clear" w:color="auto" w:fill="FFFFFF"/>
        <w:tabs>
          <w:tab w:val="left" w:pos="284"/>
          <w:tab w:val="right" w:pos="9531"/>
        </w:tabs>
        <w:jc w:val="both"/>
        <w:rPr>
          <w:bCs/>
          <w:color w:val="5B9BD5"/>
          <w:sz w:val="22"/>
          <w:szCs w:val="22"/>
          <w:u w:val="single"/>
          <w14:shadow w14:blurRad="38100" w14:dist="25400" w14:dir="5400000" w14:sx="100000" w14:sy="100000" w14:kx="0" w14:ky="0" w14:algn="ctr">
            <w14:srgbClr w14:val="6E747A">
              <w14:alpha w14:val="57000"/>
            </w14:srgbClr>
          </w14:shadow>
        </w:rPr>
      </w:pPr>
      <w:r>
        <w:rPr>
          <w:bCs/>
          <w:sz w:val="22"/>
          <w:szCs w:val="22"/>
        </w:rPr>
        <w:t xml:space="preserve">Autoritatea contractantă  </w:t>
      </w:r>
      <w:r>
        <w:rPr>
          <w:rFonts w:eastAsia="Cambria"/>
          <w:color w:val="5B9BD5"/>
          <w:sz w:val="22"/>
          <w:szCs w:val="22"/>
          <w:u w:val="single"/>
          <w14:shadow w14:blurRad="38100" w14:dist="25400" w14:dir="5400000" w14:sx="100000" w14:sy="100000" w14:kx="0" w14:ky="0" w14:algn="ctr">
            <w14:srgbClr w14:val="6E747A">
              <w14:alpha w14:val="57000"/>
            </w14:srgbClr>
          </w14:shadow>
        </w:rPr>
        <w:t>Direcța Educatie Dubăsari</w:t>
      </w:r>
    </w:p>
    <w:p w14:paraId="75F44241">
      <w:pPr>
        <w:keepNext/>
        <w:keepLines/>
        <w:jc w:val="both"/>
        <w:outlineLvl w:val="1"/>
        <w:rPr>
          <w:b/>
          <w:sz w:val="22"/>
          <w:szCs w:val="22"/>
        </w:rPr>
      </w:pPr>
    </w:p>
    <w:p w14:paraId="369EB7BE">
      <w:pPr>
        <w:numPr>
          <w:ilvl w:val="0"/>
          <w:numId w:val="18"/>
        </w:numPr>
        <w:tabs>
          <w:tab w:val="left" w:pos="1134"/>
        </w:tabs>
        <w:jc w:val="both"/>
        <w:rPr>
          <w:b/>
          <w:sz w:val="22"/>
          <w:szCs w:val="22"/>
        </w:rPr>
      </w:pPr>
      <w:r>
        <w:rPr>
          <w:b/>
          <w:sz w:val="22"/>
          <w:szCs w:val="22"/>
        </w:rPr>
        <w:t>Descriere generală. Informaţii</w:t>
      </w:r>
    </w:p>
    <w:p w14:paraId="01FBBEE2">
      <w:pPr>
        <w:jc w:val="both"/>
        <w:rPr>
          <w:color w:val="000000"/>
          <w:sz w:val="22"/>
          <w:szCs w:val="22"/>
        </w:rPr>
      </w:pPr>
      <w:r>
        <w:rPr>
          <w:b/>
          <w:color w:val="000000"/>
          <w:sz w:val="22"/>
          <w:szCs w:val="22"/>
        </w:rPr>
        <w:t>1.1</w:t>
      </w:r>
      <w:r>
        <w:rPr>
          <w:color w:val="000000"/>
          <w:sz w:val="22"/>
          <w:szCs w:val="22"/>
        </w:rPr>
        <w:t xml:space="preserve"> Achiziționarea foilor de odihnă în tabere de odihnă din raionul Dubasari in sezonul estival 2025.</w:t>
      </w:r>
    </w:p>
    <w:p w14:paraId="31D682D3">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1.2</w:t>
      </w:r>
      <w:r>
        <w:rPr>
          <w:rFonts w:eastAsia="PMingLiU"/>
          <w:color w:val="000000"/>
          <w:sz w:val="22"/>
          <w:szCs w:val="22"/>
          <w:lang w:eastAsia="zh-CN"/>
        </w:rPr>
        <w:t xml:space="preserve"> Durata schimbului: 10 zile, schimbul conține 9 nopți și 10 zile primirea copiilor de la ora 8-00 în prima zi a schimbului și plecarea la ora 17-00 în ultima zi a schimbului (cu condiţia că nu depăşeşte costul maxim acceptabil al unui bilet de odihnă, costul maxim pentru o zi de odihnă este 383.96 lei (Hotărîrea Guvernului nr. 262/2025, anexa nr.1 publicat în Monitorul Oficial al Republicii Moldova nr. 215-222a din 08.05.2025, respectiv costul maxim pentru un schimb 3839.60 lei).</w:t>
      </w:r>
    </w:p>
    <w:p w14:paraId="0D659E44">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1.3</w:t>
      </w:r>
      <w:r>
        <w:rPr>
          <w:rFonts w:eastAsia="PMingLiU"/>
          <w:color w:val="000000"/>
          <w:sz w:val="22"/>
          <w:szCs w:val="22"/>
          <w:lang w:eastAsia="zh-CN"/>
        </w:rPr>
        <w:t xml:space="preserve"> Prioritate vor avea taberele de odihnă amplasate pe teritoriul raionului Dubasari.</w:t>
      </w:r>
    </w:p>
    <w:p w14:paraId="0E75575F">
      <w:pPr>
        <w:tabs>
          <w:tab w:val="left" w:pos="0"/>
        </w:tabs>
        <w:ind w:left="360" w:hanging="360"/>
        <w:jc w:val="both"/>
        <w:rPr>
          <w:b/>
          <w:sz w:val="22"/>
          <w:szCs w:val="22"/>
        </w:rPr>
      </w:pPr>
      <w:bookmarkStart w:id="108" w:name="_Hlk65747910"/>
      <w:r>
        <w:rPr>
          <w:b/>
          <w:sz w:val="22"/>
          <w:szCs w:val="22"/>
        </w:rPr>
        <w:t xml:space="preserve">          2. Condiții de cazare, dotarea taberei:</w:t>
      </w:r>
    </w:p>
    <w:p w14:paraId="46A5819F">
      <w:pPr>
        <w:tabs>
          <w:tab w:val="left" w:pos="0"/>
        </w:tabs>
        <w:rPr>
          <w:b/>
          <w:sz w:val="22"/>
          <w:szCs w:val="22"/>
        </w:rPr>
      </w:pPr>
      <w:r>
        <w:rPr>
          <w:b/>
          <w:sz w:val="22"/>
          <w:szCs w:val="22"/>
        </w:rPr>
        <w:t xml:space="preserve">2.1 </w:t>
      </w:r>
      <w:r>
        <w:rPr>
          <w:sz w:val="22"/>
          <w:szCs w:val="22"/>
          <w:lang w:val="en-TT"/>
        </w:rPr>
        <w:t>Amplasarea taberei într-un loc pitoresc (pădure / râu / lac)</w:t>
      </w:r>
    </w:p>
    <w:p w14:paraId="566A8DBF">
      <w:pPr>
        <w:tabs>
          <w:tab w:val="left" w:pos="0"/>
        </w:tabs>
        <w:rPr>
          <w:b/>
          <w:sz w:val="22"/>
          <w:szCs w:val="22"/>
        </w:rPr>
      </w:pPr>
      <w:r>
        <w:rPr>
          <w:b/>
          <w:sz w:val="22"/>
          <w:szCs w:val="22"/>
          <w:lang w:val="en-TT"/>
        </w:rPr>
        <w:t>2.2</w:t>
      </w:r>
      <w:r>
        <w:rPr>
          <w:sz w:val="22"/>
          <w:szCs w:val="22"/>
          <w:lang w:val="en-TT"/>
        </w:rPr>
        <w:t xml:space="preserve"> Respectarea normelor de cazare a copiilor conform Regulilor și normativelor sanitar-epidemiologice de stat ”Igiena taberelor de odihnă și intremarea a sanatății copiilor” aprobate prin Hotărîrea Ministerului Sanătăţii și Protectiei Sociale a Republicii Moldova nr. 22 din 29.12.2005.</w:t>
      </w:r>
    </w:p>
    <w:p w14:paraId="50CCC22F">
      <w:pPr>
        <w:numPr>
          <w:ilvl w:val="0"/>
          <w:numId w:val="19"/>
        </w:numPr>
        <w:autoSpaceDE w:val="0"/>
        <w:autoSpaceDN w:val="0"/>
        <w:adjustRightInd w:val="0"/>
        <w:jc w:val="both"/>
        <w:rPr>
          <w:rFonts w:eastAsia="PMingLiU"/>
          <w:color w:val="000000"/>
          <w:sz w:val="22"/>
          <w:szCs w:val="22"/>
          <w:lang w:eastAsia="zh-CN"/>
        </w:rPr>
      </w:pPr>
      <w:r>
        <w:rPr>
          <w:rFonts w:eastAsia="PMingLiU"/>
          <w:color w:val="000000"/>
          <w:sz w:val="22"/>
          <w:szCs w:val="22"/>
          <w:lang w:eastAsia="zh-CN"/>
        </w:rPr>
        <w:t>Plasarea copiilor în încăperi va fi cu respectarea unui normativ de cel puțin 3,5 m</w:t>
      </w:r>
      <w:r>
        <w:rPr>
          <w:rFonts w:eastAsia="PMingLiU"/>
          <w:color w:val="000000"/>
          <w:sz w:val="22"/>
          <w:szCs w:val="22"/>
          <w:vertAlign w:val="superscript"/>
          <w:lang w:eastAsia="zh-CN"/>
        </w:rPr>
        <w:t>2</w:t>
      </w:r>
      <w:r>
        <w:rPr>
          <w:rFonts w:eastAsia="PMingLiU"/>
          <w:color w:val="000000"/>
          <w:sz w:val="22"/>
          <w:szCs w:val="22"/>
          <w:lang w:eastAsia="zh-CN"/>
        </w:rPr>
        <w:t xml:space="preserve"> pentru fiecare. </w:t>
      </w:r>
    </w:p>
    <w:p w14:paraId="5A427132">
      <w:pPr>
        <w:numPr>
          <w:ilvl w:val="0"/>
          <w:numId w:val="19"/>
        </w:numPr>
        <w:autoSpaceDE w:val="0"/>
        <w:autoSpaceDN w:val="0"/>
        <w:adjustRightInd w:val="0"/>
        <w:jc w:val="both"/>
        <w:rPr>
          <w:rFonts w:eastAsia="PMingLiU"/>
          <w:color w:val="000000"/>
          <w:sz w:val="22"/>
          <w:szCs w:val="22"/>
          <w:lang w:eastAsia="zh-CN"/>
        </w:rPr>
      </w:pPr>
      <w:r>
        <w:rPr>
          <w:rFonts w:eastAsia="PMingLiU"/>
          <w:color w:val="000000"/>
          <w:sz w:val="22"/>
          <w:szCs w:val="22"/>
          <w:lang w:eastAsia="zh-CN"/>
        </w:rPr>
        <w:t>Duș cu apă caldă, va fi separat pentru fete și băieți.</w:t>
      </w:r>
    </w:p>
    <w:p w14:paraId="41FD6920">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2.3</w:t>
      </w:r>
      <w:r>
        <w:rPr>
          <w:rFonts w:eastAsia="PMingLiU"/>
          <w:color w:val="000000"/>
          <w:sz w:val="22"/>
          <w:szCs w:val="22"/>
          <w:lang w:eastAsia="zh-CN"/>
        </w:rPr>
        <w:t xml:space="preserve"> Teritoriul va fi cu îngrădire integră și să corespundă Hotărârii Ministerului Sanătăţii și Protectiei Sociale a Republicii Moldova nr. 22 din 29.12.2005 cu privire la aprobarea şi implementarea Regulilor şi normativelor sanitaro-epidemiologice de stat „</w:t>
      </w:r>
      <w:r>
        <w:rPr>
          <w:rFonts w:eastAsia="PMingLiU"/>
          <w:i/>
          <w:color w:val="000000"/>
          <w:sz w:val="22"/>
          <w:szCs w:val="22"/>
          <w:lang w:eastAsia="zh-CN"/>
        </w:rPr>
        <w:t>Igiena taberelor de odihnă şi întremare a sănătăţii copiilor”.</w:t>
      </w:r>
    </w:p>
    <w:p w14:paraId="31B6C1EC">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2.4</w:t>
      </w:r>
      <w:r>
        <w:rPr>
          <w:rFonts w:eastAsia="PMingLiU"/>
          <w:color w:val="000000"/>
          <w:sz w:val="22"/>
          <w:szCs w:val="22"/>
          <w:lang w:eastAsia="zh-CN"/>
        </w:rPr>
        <w:t xml:space="preserve"> Tabara trebuie să fie dotată cu utilaj medical şi medicamente necesare în dependenţă de numărul de copii şi în conformitate cu ordinul Ministrului Sănătăţii și Ministrului Educației nr. 428/369 din 25.05.2011, în special, creînd condiţiile necesare pentru respectarea igienei personale a copiilor.            </w:t>
      </w:r>
    </w:p>
    <w:p w14:paraId="4B3A57A5">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2.5</w:t>
      </w:r>
      <w:r>
        <w:rPr>
          <w:rFonts w:eastAsia="PMingLiU"/>
          <w:color w:val="000000"/>
          <w:sz w:val="22"/>
          <w:szCs w:val="22"/>
          <w:lang w:eastAsia="zh-CN"/>
        </w:rPr>
        <w:t xml:space="preserve"> Schema de încadrare a personalului în taberele de odihnă şi întremare a sănătăţii copiilor să corespundă condiţiilor Anexei nr.2 din Hotărîrea Guvernului nr.334 din 23.04.2009 cu privire la aprobarea Regulamentului de funcționare a taberelor de odihnă și întremare a sănătății copiilor și adolescenților; - un număr suficient de cadre (bucătari, lucrători auxiliari de bucătăre, spălătorese, personal tehnic), care să dispună de minimul necesar de studii; atestare la minimul sanitar; carnete medicale conform cerinţelor. Educatori cu studii superioare, medii de specialitate sau studenţi a instituţiilor pedagogice minim anul 3 UPC. Toţi angajaţii întreprinderii trebuie să dispună de controlul medical.  </w:t>
      </w:r>
    </w:p>
    <w:p w14:paraId="184137C6">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 xml:space="preserve">2.6 </w:t>
      </w:r>
      <w:r>
        <w:rPr>
          <w:rFonts w:eastAsia="PMingLiU"/>
          <w:color w:val="000000"/>
          <w:sz w:val="22"/>
          <w:szCs w:val="22"/>
          <w:lang w:eastAsia="zh-CN"/>
        </w:rPr>
        <w:t>Utilajului ingineresc de pe teritoriul taberei va fi cu îngrădire integră, cu asigurarea limitării</w:t>
      </w:r>
      <w:r>
        <w:rPr>
          <w:rFonts w:eastAsia="PMingLiU"/>
          <w:b/>
          <w:color w:val="000000"/>
          <w:sz w:val="22"/>
          <w:szCs w:val="22"/>
          <w:lang w:eastAsia="zh-CN"/>
        </w:rPr>
        <w:t xml:space="preserve"> </w:t>
      </w:r>
      <w:r>
        <w:rPr>
          <w:rFonts w:eastAsia="PMingLiU"/>
          <w:color w:val="000000"/>
          <w:sz w:val="22"/>
          <w:szCs w:val="22"/>
          <w:lang w:eastAsia="zh-CN"/>
        </w:rPr>
        <w:t xml:space="preserve">accesului doar pentru personalul autorizat.        </w:t>
      </w:r>
    </w:p>
    <w:p w14:paraId="190570D0">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2.7</w:t>
      </w:r>
      <w:r>
        <w:rPr>
          <w:rFonts w:eastAsia="PMingLiU"/>
          <w:color w:val="000000"/>
          <w:sz w:val="22"/>
          <w:szCs w:val="22"/>
          <w:lang w:eastAsia="zh-CN"/>
        </w:rPr>
        <w:t xml:space="preserve"> Pază 24/24 ore pentru menţinerea ordinei pe teritoriul taberei. </w:t>
      </w:r>
    </w:p>
    <w:p w14:paraId="00C592CA">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2.8</w:t>
      </w:r>
      <w:r>
        <w:rPr>
          <w:rFonts w:eastAsia="PMingLiU"/>
          <w:color w:val="000000"/>
          <w:sz w:val="22"/>
          <w:szCs w:val="22"/>
          <w:lang w:eastAsia="zh-CN"/>
        </w:rPr>
        <w:t xml:space="preserve"> Asigurarea copiilor cu incăpere amenajata pentru petrecerea timpului și activitatilor în caz de condiții meteo nefavorabile.</w:t>
      </w:r>
    </w:p>
    <w:p w14:paraId="369CFDD7">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 xml:space="preserve">2.9   </w:t>
      </w:r>
      <w:r>
        <w:rPr>
          <w:rFonts w:eastAsia="PMingLiU"/>
          <w:color w:val="000000"/>
          <w:sz w:val="22"/>
          <w:szCs w:val="22"/>
          <w:lang w:eastAsia="zh-CN"/>
        </w:rPr>
        <w:t>Bazin pentru copii de vârsta 7-16 ani.</w:t>
      </w:r>
    </w:p>
    <w:p w14:paraId="33EE8C66">
      <w:pPr>
        <w:autoSpaceDE w:val="0"/>
        <w:autoSpaceDN w:val="0"/>
        <w:adjustRightInd w:val="0"/>
        <w:jc w:val="both"/>
        <w:rPr>
          <w:rFonts w:eastAsia="PMingLiU"/>
          <w:b/>
          <w:color w:val="000000"/>
          <w:sz w:val="22"/>
          <w:szCs w:val="22"/>
          <w:lang w:eastAsia="zh-CN"/>
        </w:rPr>
      </w:pPr>
      <w:r>
        <w:rPr>
          <w:rFonts w:eastAsia="PMingLiU"/>
          <w:b/>
          <w:color w:val="000000"/>
          <w:sz w:val="22"/>
          <w:szCs w:val="22"/>
          <w:lang w:eastAsia="zh-CN"/>
        </w:rPr>
        <w:t>2.10</w:t>
      </w:r>
      <w:r>
        <w:rPr>
          <w:rFonts w:eastAsia="PMingLiU"/>
          <w:color w:val="000000"/>
          <w:sz w:val="22"/>
          <w:szCs w:val="22"/>
          <w:lang w:eastAsia="zh-CN"/>
        </w:rPr>
        <w:t xml:space="preserve"> Teatru de vară, terenuri sportive (de fotbal, volei, baschet, tenis de masa)</w:t>
      </w:r>
    </w:p>
    <w:p w14:paraId="618CF886">
      <w:pPr>
        <w:ind w:left="360" w:hanging="360"/>
        <w:jc w:val="both"/>
        <w:rPr>
          <w:bCs/>
          <w:sz w:val="22"/>
          <w:szCs w:val="22"/>
        </w:rPr>
      </w:pPr>
      <w:r>
        <w:rPr>
          <w:b/>
          <w:sz w:val="22"/>
          <w:szCs w:val="22"/>
        </w:rPr>
        <w:t xml:space="preserve">         3. Condiții de alimentare</w:t>
      </w:r>
    </w:p>
    <w:p w14:paraId="782713DA">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3.1</w:t>
      </w:r>
      <w:r>
        <w:rPr>
          <w:rFonts w:eastAsia="PMingLiU"/>
          <w:color w:val="000000"/>
          <w:sz w:val="22"/>
          <w:szCs w:val="22"/>
          <w:lang w:eastAsia="zh-CN"/>
        </w:rPr>
        <w:t xml:space="preserve"> Alimentarea unui copil va corespunde normelor fiziologice pentru 1 copil pe zi conform ordinului Ministerului Sănătății nr. 638 din 12.08.2016, modificat prin Ordinul Ministerului Sănătății, Muncii și Protecției Sociale nr. 910 din 02.10.2020. Organizarea alimentației de cel puţin 4 ori pe zi;</w:t>
      </w:r>
    </w:p>
    <w:p w14:paraId="12C5E3F7">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3.2</w:t>
      </w:r>
      <w:r>
        <w:rPr>
          <w:rFonts w:eastAsia="PMingLiU"/>
          <w:color w:val="000000"/>
          <w:sz w:val="22"/>
          <w:szCs w:val="22"/>
          <w:lang w:eastAsia="zh-CN"/>
        </w:rPr>
        <w:t xml:space="preserve">  Sortimentul de produse alimentare va fi variat, echilibrat cu respectarea normelor calorice în meniul de alimentație conform standartelor. Mesele vor fi servite zilnic, la aceeaşi oră, cu un interval nu mai mare de 4 ore. </w:t>
      </w:r>
    </w:p>
    <w:p w14:paraId="4CC72F7B">
      <w:pPr>
        <w:jc w:val="both"/>
        <w:rPr>
          <w:sz w:val="22"/>
          <w:szCs w:val="22"/>
        </w:rPr>
      </w:pPr>
    </w:p>
    <w:p w14:paraId="107556BB">
      <w:pPr>
        <w:tabs>
          <w:tab w:val="left" w:pos="993"/>
        </w:tabs>
        <w:ind w:left="360"/>
        <w:rPr>
          <w:b/>
          <w:sz w:val="22"/>
          <w:szCs w:val="22"/>
        </w:rPr>
      </w:pPr>
      <w:r>
        <w:rPr>
          <w:b/>
          <w:sz w:val="22"/>
          <w:szCs w:val="22"/>
        </w:rPr>
        <w:t>4. Măsuri distractive</w:t>
      </w:r>
    </w:p>
    <w:p w14:paraId="3BEADE15">
      <w:pPr>
        <w:tabs>
          <w:tab w:val="left" w:pos="993"/>
        </w:tabs>
        <w:jc w:val="both"/>
        <w:rPr>
          <w:b/>
          <w:sz w:val="22"/>
          <w:szCs w:val="22"/>
        </w:rPr>
      </w:pPr>
      <w:r>
        <w:rPr>
          <w:b/>
          <w:sz w:val="22"/>
          <w:szCs w:val="22"/>
          <w:lang w:val="en-TT"/>
        </w:rPr>
        <w:t>4.1</w:t>
      </w:r>
      <w:r>
        <w:rPr>
          <w:sz w:val="22"/>
          <w:szCs w:val="22"/>
          <w:lang w:val="en-TT"/>
        </w:rPr>
        <w:t xml:space="preserve"> Organizarea diferitor concursuri distractiv-educative și sportive în conformitate cu recomandările din ghidul metodologic </w:t>
      </w:r>
      <w:r>
        <w:rPr>
          <w:i/>
          <w:sz w:val="22"/>
          <w:szCs w:val="22"/>
          <w:lang w:val="en-TT"/>
        </w:rPr>
        <w:t>Organizarea și desfățurarea activităților în taberele de odihnă</w:t>
      </w:r>
      <w:r>
        <w:rPr>
          <w:sz w:val="22"/>
          <w:szCs w:val="22"/>
          <w:lang w:val="en-TT"/>
        </w:rPr>
        <w:t xml:space="preserve">. Programul minim distractiv-educativ și sportiv pe parcursul unui schimb va include: excursii, vizionare a unui film, competiții sportive, serată de dansuri. </w:t>
      </w:r>
      <w:r>
        <w:rPr>
          <w:sz w:val="22"/>
          <w:szCs w:val="22"/>
        </w:rPr>
        <w:t>Activități alternative propuse la discreția participanților se vor accepta, cu condiția respectării profilului și scopul activității.</w:t>
      </w:r>
    </w:p>
    <w:p w14:paraId="3C56A83E">
      <w:pPr>
        <w:numPr>
          <w:ilvl w:val="0"/>
          <w:numId w:val="20"/>
        </w:numPr>
        <w:autoSpaceDE w:val="0"/>
        <w:autoSpaceDN w:val="0"/>
        <w:adjustRightInd w:val="0"/>
        <w:jc w:val="both"/>
        <w:rPr>
          <w:rFonts w:eastAsia="PMingLiU"/>
          <w:b/>
          <w:color w:val="000000"/>
          <w:sz w:val="22"/>
          <w:szCs w:val="22"/>
          <w:lang w:eastAsia="zh-CN"/>
        </w:rPr>
      </w:pPr>
      <w:r>
        <w:rPr>
          <w:rFonts w:eastAsia="PMingLiU"/>
          <w:b/>
          <w:color w:val="000000"/>
          <w:sz w:val="22"/>
          <w:szCs w:val="22"/>
          <w:lang w:eastAsia="zh-CN"/>
        </w:rPr>
        <w:t>Cerinţe privind calculul costului/prețului</w:t>
      </w:r>
    </w:p>
    <w:p w14:paraId="6C732A42">
      <w:pPr>
        <w:jc w:val="both"/>
        <w:rPr>
          <w:sz w:val="22"/>
          <w:szCs w:val="22"/>
        </w:rPr>
      </w:pPr>
      <w:r>
        <w:rPr>
          <w:b/>
          <w:bCs/>
          <w:sz w:val="22"/>
          <w:szCs w:val="22"/>
        </w:rPr>
        <w:t>5.1</w:t>
      </w:r>
      <w:r>
        <w:rPr>
          <w:bCs/>
          <w:sz w:val="22"/>
          <w:szCs w:val="22"/>
        </w:rPr>
        <w:t xml:space="preserve"> C</w:t>
      </w:r>
      <w:r>
        <w:rPr>
          <w:sz w:val="22"/>
          <w:szCs w:val="22"/>
        </w:rPr>
        <w:t>ostul maxim acceptabil al unui bilet de odihnă, costul maxim pentru o zi de odihnă este 383.96 lei (Hotărîrea Guvernului nr. 262/2025, anexa nr.1 publicat în Monitorul Oficial al Republicii Moldova nr. 215-222a din 08.05.2024, respectiv costul maxim pentru un schimb 3839.60 lei). Cantitatea de bilete de odihnă va fi achiziționată în limita mijloacelor financiare indicate.</w:t>
      </w:r>
    </w:p>
    <w:p w14:paraId="192917B8">
      <w:pPr>
        <w:numPr>
          <w:ilvl w:val="0"/>
          <w:numId w:val="20"/>
        </w:numPr>
        <w:autoSpaceDE w:val="0"/>
        <w:autoSpaceDN w:val="0"/>
        <w:adjustRightInd w:val="0"/>
        <w:jc w:val="both"/>
        <w:rPr>
          <w:rFonts w:eastAsia="PMingLiU"/>
          <w:b/>
          <w:color w:val="000000"/>
          <w:sz w:val="22"/>
          <w:szCs w:val="22"/>
          <w:lang w:eastAsia="zh-CN"/>
        </w:rPr>
      </w:pPr>
      <w:r>
        <w:rPr>
          <w:rFonts w:eastAsia="PMingLiU"/>
          <w:b/>
          <w:color w:val="000000"/>
          <w:sz w:val="22"/>
          <w:szCs w:val="22"/>
          <w:lang w:eastAsia="zh-CN"/>
        </w:rPr>
        <w:t xml:space="preserve">Cerințe către servicii </w:t>
      </w:r>
    </w:p>
    <w:p w14:paraId="587FBD7E">
      <w:pPr>
        <w:autoSpaceDE w:val="0"/>
        <w:autoSpaceDN w:val="0"/>
        <w:adjustRightInd w:val="0"/>
        <w:jc w:val="both"/>
        <w:rPr>
          <w:rFonts w:eastAsia="PMingLiU"/>
          <w:b/>
          <w:color w:val="000000"/>
          <w:sz w:val="22"/>
          <w:szCs w:val="22"/>
          <w:lang w:eastAsia="zh-CN"/>
        </w:rPr>
      </w:pPr>
      <w:r>
        <w:rPr>
          <w:rFonts w:eastAsia="PMingLiU"/>
          <w:b/>
          <w:color w:val="000000"/>
          <w:sz w:val="22"/>
          <w:szCs w:val="22"/>
          <w:lang w:eastAsia="zh-CN"/>
        </w:rPr>
        <w:t>6.1</w:t>
      </w:r>
      <w:r>
        <w:rPr>
          <w:rFonts w:eastAsia="PMingLiU"/>
          <w:color w:val="000000"/>
          <w:sz w:val="22"/>
          <w:szCs w:val="22"/>
          <w:lang w:eastAsia="zh-CN"/>
        </w:rPr>
        <w:t xml:space="preserve"> Să respecte normele sanitaro-igienice şi securitatea copilului conform legislaţiei în vigoare.</w:t>
      </w:r>
    </w:p>
    <w:p w14:paraId="379567D6">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6.2</w:t>
      </w:r>
      <w:r>
        <w:rPr>
          <w:rFonts w:eastAsia="PMingLiU"/>
          <w:color w:val="000000"/>
          <w:sz w:val="22"/>
          <w:szCs w:val="22"/>
          <w:lang w:eastAsia="zh-CN"/>
        </w:rPr>
        <w:t xml:space="preserve"> Să îndeplinească prevederile din Hotărârea anuală a Guvernului „Cu privire la organizare odihnei de vară a copiilor și adolescenților în sezonul estival 2024”.</w:t>
      </w:r>
    </w:p>
    <w:p w14:paraId="79BD4725">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6.3</w:t>
      </w:r>
      <w:r>
        <w:rPr>
          <w:rFonts w:eastAsia="PMingLiU"/>
          <w:color w:val="000000"/>
          <w:sz w:val="22"/>
          <w:szCs w:val="22"/>
          <w:lang w:eastAsia="zh-CN"/>
        </w:rPr>
        <w:t xml:space="preserve"> Să asigure alimentaţia echilibrată a copiilor, care să conţină toate substanţele nutritive necesare pentru acoperirea pierderilor de energie şi asigurarea dezvoltării normale a organismului.</w:t>
      </w:r>
    </w:p>
    <w:p w14:paraId="6D5F3E70">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6.4</w:t>
      </w:r>
      <w:r>
        <w:rPr>
          <w:rFonts w:eastAsia="PMingLiU"/>
          <w:color w:val="000000"/>
          <w:sz w:val="22"/>
          <w:szCs w:val="22"/>
          <w:lang w:eastAsia="zh-CN"/>
        </w:rPr>
        <w:t xml:space="preserve"> Să presteze serviciile în strictă conformitate cu prevederile Hotărîrii Guvernului nr. 334 din 23.04.2009 cu privire la aprobarea Regulamentului de funcţionare a taberelor de odihnă şi întremare a sănătăţii copiilor şi adolescenţilor. </w:t>
      </w:r>
    </w:p>
    <w:p w14:paraId="79EB5362">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6.5</w:t>
      </w:r>
      <w:r>
        <w:rPr>
          <w:rFonts w:eastAsia="PMingLiU"/>
          <w:color w:val="000000"/>
          <w:sz w:val="22"/>
          <w:szCs w:val="22"/>
          <w:lang w:eastAsia="zh-CN"/>
        </w:rPr>
        <w:t xml:space="preserve"> Să asigure un număr suficient de personal didactic, medical, de administrare şi deservire în strictă conformitate cu prevederile Anexei nr. 2 al Hotărârii Guvernului 334 din 23.04.2009. </w:t>
      </w:r>
    </w:p>
    <w:p w14:paraId="53EACAD1">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6.6</w:t>
      </w:r>
      <w:r>
        <w:rPr>
          <w:rFonts w:eastAsia="PMingLiU"/>
          <w:color w:val="000000"/>
          <w:sz w:val="22"/>
          <w:szCs w:val="22"/>
          <w:lang w:eastAsia="zh-CN"/>
        </w:rPr>
        <w:t xml:space="preserve">  Să creeze condiţiile necesare în respectarea igienei personale a copiilor (asigurarea cu lengerie de pat). Deratizarea şi dezinfectarea încăperilor.</w:t>
      </w:r>
    </w:p>
    <w:p w14:paraId="71738346">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6.7</w:t>
      </w:r>
      <w:r>
        <w:rPr>
          <w:rFonts w:eastAsia="PMingLiU"/>
          <w:color w:val="000000"/>
          <w:sz w:val="22"/>
          <w:szCs w:val="22"/>
          <w:lang w:eastAsia="zh-CN"/>
        </w:rPr>
        <w:t xml:space="preserve"> Să asigure deratizarea, dezinfectarea şi dezinsecția încăperilor până la momentul executării contractului şi pe parcursul prestării serviciilor în mod corespunzător.</w:t>
      </w:r>
    </w:p>
    <w:p w14:paraId="777FFBFA">
      <w:pPr>
        <w:autoSpaceDE w:val="0"/>
        <w:autoSpaceDN w:val="0"/>
        <w:adjustRightInd w:val="0"/>
        <w:jc w:val="both"/>
        <w:rPr>
          <w:rFonts w:eastAsia="PMingLiU"/>
          <w:color w:val="000000"/>
          <w:sz w:val="22"/>
          <w:szCs w:val="22"/>
          <w:lang w:eastAsia="zh-CN"/>
        </w:rPr>
      </w:pPr>
      <w:r>
        <w:rPr>
          <w:rFonts w:eastAsia="PMingLiU"/>
          <w:b/>
          <w:color w:val="000000"/>
          <w:sz w:val="22"/>
          <w:szCs w:val="22"/>
          <w:lang w:eastAsia="zh-CN"/>
        </w:rPr>
        <w:t>6.8</w:t>
      </w:r>
      <w:r>
        <w:rPr>
          <w:rFonts w:eastAsia="PMingLiU"/>
          <w:color w:val="000000"/>
          <w:sz w:val="22"/>
          <w:szCs w:val="22"/>
          <w:lang w:eastAsia="zh-CN"/>
        </w:rPr>
        <w:t xml:space="preserve">  Să-şi asume responsabilitatea directă pentru: </w:t>
      </w:r>
    </w:p>
    <w:p w14:paraId="03F2A73A">
      <w:pPr>
        <w:numPr>
          <w:ilvl w:val="0"/>
          <w:numId w:val="21"/>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calitatea produselor preparate, </w:t>
      </w:r>
    </w:p>
    <w:p w14:paraId="0F0603DC">
      <w:pPr>
        <w:numPr>
          <w:ilvl w:val="0"/>
          <w:numId w:val="21"/>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respectarea termenelor de valabilitate a păstrării, preparării şi livrării produselor alimentare utilizate la alimentarea cu hrană caldă a copiilor; </w:t>
      </w:r>
    </w:p>
    <w:p w14:paraId="74CED3B4">
      <w:pPr>
        <w:numPr>
          <w:ilvl w:val="0"/>
          <w:numId w:val="21"/>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14:paraId="3D9C96DA">
      <w:pPr>
        <w:numPr>
          <w:ilvl w:val="0"/>
          <w:numId w:val="21"/>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respectarea obligaţiunilor funcţionale ale angajaţilor blocurilor alimentare; </w:t>
      </w:r>
    </w:p>
    <w:p w14:paraId="3B5409C7">
      <w:pPr>
        <w:numPr>
          <w:ilvl w:val="0"/>
          <w:numId w:val="21"/>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procurarea detergenţilor, substanţelor dezinfectante, vestimentaţiei de serviciu al lucrătorilor cantinei şi depozitului; </w:t>
      </w:r>
    </w:p>
    <w:p w14:paraId="2207F64E">
      <w:pPr>
        <w:numPr>
          <w:ilvl w:val="0"/>
          <w:numId w:val="21"/>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respectarea normelor antiincendiare; </w:t>
      </w:r>
    </w:p>
    <w:p w14:paraId="2680CE1A">
      <w:pPr>
        <w:numPr>
          <w:ilvl w:val="0"/>
          <w:numId w:val="21"/>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pe parcursul executării contractului să asigure alimentația copiilor în baza meniului de perspectivă. </w:t>
      </w:r>
    </w:p>
    <w:p w14:paraId="366F8507">
      <w:pPr>
        <w:numPr>
          <w:ilvl w:val="1"/>
          <w:numId w:val="22"/>
        </w:numPr>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Să creeze condiţii pentru desfăşurarea activităţilor cu caracter cognitiv şi distractiv. </w:t>
      </w:r>
    </w:p>
    <w:p w14:paraId="6F4F1F41">
      <w:pPr>
        <w:numPr>
          <w:ilvl w:val="1"/>
          <w:numId w:val="22"/>
        </w:numPr>
        <w:tabs>
          <w:tab w:val="left" w:pos="426"/>
        </w:tabs>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 Să organizeze jocurile şi competiţiile sportive, întremarea copiilor prin diferite metode, desfăşurarea excursiilor, vizionarea filmelor şi emisiunilor TV, pregătirea programelor de agrement, etc. </w:t>
      </w:r>
    </w:p>
    <w:p w14:paraId="496EE5EB">
      <w:pPr>
        <w:numPr>
          <w:ilvl w:val="1"/>
          <w:numId w:val="22"/>
        </w:numPr>
        <w:tabs>
          <w:tab w:val="left" w:pos="426"/>
        </w:tabs>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 Să asigure integritatea inventarului sportiv/distractiv prin verificarea permanentă a utilajului. </w:t>
      </w:r>
    </w:p>
    <w:p w14:paraId="3E773207">
      <w:pPr>
        <w:numPr>
          <w:ilvl w:val="1"/>
          <w:numId w:val="22"/>
        </w:numPr>
        <w:tabs>
          <w:tab w:val="left" w:pos="426"/>
        </w:tabs>
        <w:autoSpaceDE w:val="0"/>
        <w:autoSpaceDN w:val="0"/>
        <w:adjustRightInd w:val="0"/>
        <w:spacing w:after="28"/>
        <w:jc w:val="both"/>
        <w:rPr>
          <w:rFonts w:eastAsia="PMingLiU"/>
          <w:color w:val="000000"/>
          <w:sz w:val="22"/>
          <w:szCs w:val="22"/>
          <w:lang w:eastAsia="zh-CN"/>
        </w:rPr>
      </w:pPr>
      <w:r>
        <w:rPr>
          <w:rFonts w:eastAsia="PMingLiU"/>
          <w:color w:val="000000"/>
          <w:sz w:val="22"/>
          <w:szCs w:val="22"/>
          <w:lang w:eastAsia="zh-CN"/>
        </w:rPr>
        <w:t xml:space="preserve"> În cazul desfăşurării activităţilor în afara teritoriului taberei de vară, unde sunt necesare servicii de transport, participantul va asigura o unitate de transport, atestat tehnic. Conducătorii auto antrenaţi în servicii de transport vor fi asiguraţi cu carnet medical.</w:t>
      </w:r>
    </w:p>
    <w:p w14:paraId="7DC6FF38">
      <w:pPr>
        <w:numPr>
          <w:ilvl w:val="1"/>
          <w:numId w:val="22"/>
        </w:numPr>
        <w:tabs>
          <w:tab w:val="left" w:pos="426"/>
        </w:tabs>
        <w:autoSpaceDE w:val="0"/>
        <w:autoSpaceDN w:val="0"/>
        <w:adjustRightInd w:val="0"/>
        <w:spacing w:after="28"/>
        <w:jc w:val="both"/>
        <w:rPr>
          <w:rFonts w:eastAsia="PMingLiU"/>
          <w:color w:val="000000"/>
          <w:sz w:val="22"/>
          <w:szCs w:val="22"/>
          <w:lang w:val="en-TT" w:eastAsia="zh-CN"/>
        </w:rPr>
      </w:pPr>
      <w:r>
        <w:rPr>
          <w:rFonts w:eastAsia="PMingLiU"/>
          <w:color w:val="000000"/>
          <w:sz w:val="22"/>
          <w:szCs w:val="22"/>
          <w:lang w:eastAsia="zh-CN"/>
        </w:rPr>
        <w:t xml:space="preserve"> Modelul biletului este aprobat prin ordinul intern al Casei Naționale de Asigurări Sociale, utilizarea căruia este obligatorie (se anexează</w:t>
      </w:r>
      <w:r>
        <w:rPr>
          <w:rFonts w:eastAsia="PMingLiU"/>
          <w:color w:val="000000"/>
          <w:sz w:val="22"/>
          <w:szCs w:val="22"/>
          <w:lang w:val="en-TT" w:eastAsia="zh-CN"/>
        </w:rPr>
        <w:t xml:space="preserve">). </w:t>
      </w:r>
    </w:p>
    <w:p w14:paraId="563A0EE3">
      <w:pPr>
        <w:autoSpaceDE w:val="0"/>
        <w:autoSpaceDN w:val="0"/>
        <w:adjustRightInd w:val="0"/>
        <w:jc w:val="both"/>
        <w:rPr>
          <w:rFonts w:eastAsia="PMingLiU"/>
          <w:color w:val="000000"/>
          <w:sz w:val="22"/>
          <w:szCs w:val="22"/>
          <w:lang w:eastAsia="zh-CN"/>
        </w:rPr>
      </w:pPr>
      <w:r>
        <w:rPr>
          <w:rFonts w:eastAsia="PMingLiU"/>
          <w:color w:val="000000"/>
          <w:sz w:val="22"/>
          <w:szCs w:val="22"/>
          <w:lang w:eastAsia="zh-CN"/>
        </w:rPr>
        <w:t>Anexă: Modelul biletului este aprobat prin ordinul intern al CNAS (anexa nr. 1)</w:t>
      </w:r>
      <w:bookmarkEnd w:id="108"/>
    </w:p>
    <w:p w14:paraId="0C5A0AF0">
      <w:pPr>
        <w:jc w:val="right"/>
        <w:rPr>
          <w:lang w:val="en-TT"/>
        </w:rPr>
      </w:pPr>
    </w:p>
    <w:p w14:paraId="75623EF3">
      <w:pPr>
        <w:rPr>
          <w:lang w:val="en-TT"/>
        </w:rPr>
      </w:pPr>
    </w:p>
    <w:p w14:paraId="5515DF18">
      <w:pPr>
        <w:rPr>
          <w:b/>
          <w:i/>
          <w:lang w:val="en-TT"/>
        </w:rPr>
      </w:pPr>
      <w:r>
        <w:rPr>
          <w:b/>
          <w:i/>
          <w:lang w:val="en-TT"/>
        </w:rPr>
        <w:t>Ședă interimară,                                                                               Larisa BRADUCEAN</w:t>
      </w:r>
    </w:p>
    <w:p w14:paraId="431C8E6F">
      <w:pPr>
        <w:rPr>
          <w:b/>
          <w:i/>
        </w:rPr>
      </w:pPr>
      <w:r>
        <w:rPr>
          <w:b/>
          <w:i/>
          <w:lang w:val="en-TT"/>
        </w:rPr>
        <w:t>Direcția Educație Dubăsari</w:t>
      </w:r>
    </w:p>
    <w:p w14:paraId="597B4827">
      <w:pPr>
        <w:rPr>
          <w:b/>
          <w:lang w:val="en-TT"/>
        </w:rPr>
      </w:pPr>
    </w:p>
    <w:p w14:paraId="34C75F68">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09" w:name="_Toc356920194"/>
            <w:bookmarkStart w:id="110" w:name="_Toc449539095"/>
            <w:bookmarkStart w:id="111"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2" w:name="_Hlk77771394"/>
            <w:r>
              <w:t xml:space="preserve">Specificaţii tehnice </w:t>
            </w:r>
            <w:bookmarkEnd w:id="109"/>
            <w:bookmarkEnd w:id="110"/>
            <w:bookmarkEnd w:id="111"/>
            <w:bookmarkEnd w:id="112"/>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3" w:name="_Hlk77771427"/>
      <w:r>
        <w:rPr>
          <w:b/>
        </w:rPr>
        <w:t>CONTRACT – MODEL</w:t>
      </w:r>
      <w:bookmarkEnd w:id="113"/>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3"/>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4" w:name="_Hlk77771456"/>
                  <w:r>
                    <w:rPr>
                      <w:b/>
                      <w:bCs/>
                      <w:caps/>
                    </w:rPr>
                    <w:t>ACORD ADIȚIONAL</w:t>
                  </w:r>
                  <w:r>
                    <w:rPr>
                      <w:b/>
                      <w:bCs/>
                    </w:rPr>
                    <w:t xml:space="preserve"> </w:t>
                  </w:r>
                  <w:bookmarkEnd w:id="114"/>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5" w:name="_Hlk77771474"/>
            <w:r>
              <w:rPr>
                <w:b/>
                <w:bCs/>
              </w:rPr>
              <w:t>ACORD-CADRU</w:t>
            </w:r>
          </w:p>
          <w:bookmarkEnd w:id="115"/>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4"/>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5"/>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5"/>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5"/>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32</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BDF4285"/>
    <w:multiLevelType w:val="multilevel"/>
    <w:tmpl w:val="2BDF428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32661F9A"/>
    <w:multiLevelType w:val="multilevel"/>
    <w:tmpl w:val="32661F9A"/>
    <w:lvl w:ilvl="0" w:tentative="0">
      <w:start w:val="1"/>
      <w:numFmt w:val="lowerLetter"/>
      <w:lvlText w:val="%1)"/>
      <w:lvlJc w:val="left"/>
      <w:pPr>
        <w:ind w:left="720" w:hanging="360"/>
      </w:pPr>
      <w:rPr>
        <w:rFonts w:ascii="Times New Roman" w:hAnsi="Times New Roman" w:cs="Times New Roman" w:eastAsiaTheme="minorHAnsi"/>
        <w:sz w:val="24"/>
      </w:rPr>
    </w:lvl>
    <w:lvl w:ilvl="1" w:tentative="0">
      <w:start w:val="2"/>
      <w:numFmt w:val="bullet"/>
      <w:lvlText w:val=""/>
      <w:lvlJc w:val="left"/>
      <w:pPr>
        <w:ind w:left="1440" w:hanging="360"/>
      </w:pPr>
      <w:rPr>
        <w:rFonts w:hint="default" w:ascii="Times New Roman" w:hAnsi="Times New Roman" w:cs="Times New Roman" w:eastAsiaTheme="minorHAnsi"/>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3">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F6D7099"/>
    <w:multiLevelType w:val="multilevel"/>
    <w:tmpl w:val="3F6D7099"/>
    <w:lvl w:ilvl="0" w:tentative="0">
      <w:start w:val="7"/>
      <w:numFmt w:val="decimal"/>
      <w:lvlText w:val="%1"/>
      <w:lvlJc w:val="left"/>
      <w:pPr>
        <w:ind w:left="360" w:hanging="360"/>
      </w:pPr>
    </w:lvl>
    <w:lvl w:ilvl="1" w:tentative="0">
      <w:start w:val="1"/>
      <w:numFmt w:val="decimal"/>
      <w:lvlText w:val="%1.%2"/>
      <w:lvlJc w:val="left"/>
      <w:pPr>
        <w:ind w:left="502" w:hanging="360"/>
      </w:pPr>
      <w:rPr>
        <w:b/>
      </w:r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5">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6">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8">
    <w:nsid w:val="598045E6"/>
    <w:multiLevelType w:val="multilevel"/>
    <w:tmpl w:val="598045E6"/>
    <w:lvl w:ilvl="0" w:tentative="0">
      <w:start w:val="5"/>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B70500B"/>
    <w:multiLevelType w:val="multilevel"/>
    <w:tmpl w:val="7B70500B"/>
    <w:lvl w:ilvl="0" w:tentative="0">
      <w:start w:val="1"/>
      <w:numFmt w:val="decimal"/>
      <w:lvlText w:val="%1."/>
      <w:lvlJc w:val="left"/>
      <w:pPr>
        <w:ind w:left="1069" w:hanging="360"/>
      </w:pPr>
    </w:lvl>
    <w:lvl w:ilvl="1" w:tentative="0">
      <w:start w:val="1"/>
      <w:numFmt w:val="decimal"/>
      <w:isLgl/>
      <w:lvlText w:val="%1.%2"/>
      <w:lvlJc w:val="left"/>
      <w:pPr>
        <w:ind w:left="1070" w:hanging="360"/>
      </w:pPr>
      <w:rPr>
        <w:b w:val="0"/>
      </w:rPr>
    </w:lvl>
    <w:lvl w:ilvl="2" w:tentative="0">
      <w:start w:val="1"/>
      <w:numFmt w:val="decimal"/>
      <w:isLgl/>
      <w:lvlText w:val="%1.%2.%3"/>
      <w:lvlJc w:val="left"/>
      <w:pPr>
        <w:ind w:left="1429" w:hanging="720"/>
      </w:pPr>
    </w:lvl>
    <w:lvl w:ilvl="3" w:tentative="0">
      <w:start w:val="1"/>
      <w:numFmt w:val="decimal"/>
      <w:isLgl/>
      <w:lvlText w:val="%1.%2.%3.%4"/>
      <w:lvlJc w:val="left"/>
      <w:pPr>
        <w:ind w:left="1429" w:hanging="720"/>
      </w:pPr>
    </w:lvl>
    <w:lvl w:ilvl="4" w:tentative="0">
      <w:start w:val="1"/>
      <w:numFmt w:val="decimal"/>
      <w:isLgl/>
      <w:lvlText w:val="%1.%2.%3.%4.%5"/>
      <w:lvlJc w:val="left"/>
      <w:pPr>
        <w:ind w:left="1789" w:hanging="1080"/>
      </w:pPr>
    </w:lvl>
    <w:lvl w:ilvl="5" w:tentative="0">
      <w:start w:val="1"/>
      <w:numFmt w:val="decimal"/>
      <w:isLgl/>
      <w:lvlText w:val="%1.%2.%3.%4.%5.%6"/>
      <w:lvlJc w:val="left"/>
      <w:pPr>
        <w:ind w:left="1789" w:hanging="1080"/>
      </w:pPr>
    </w:lvl>
    <w:lvl w:ilvl="6" w:tentative="0">
      <w:start w:val="1"/>
      <w:numFmt w:val="decimal"/>
      <w:isLgl/>
      <w:lvlText w:val="%1.%2.%3.%4.%5.%6.%7"/>
      <w:lvlJc w:val="left"/>
      <w:pPr>
        <w:ind w:left="2149" w:hanging="1440"/>
      </w:pPr>
    </w:lvl>
    <w:lvl w:ilvl="7" w:tentative="0">
      <w:start w:val="1"/>
      <w:numFmt w:val="decimal"/>
      <w:isLgl/>
      <w:lvlText w:val="%1.%2.%3.%4.%5.%6.%7.%8"/>
      <w:lvlJc w:val="left"/>
      <w:pPr>
        <w:ind w:left="2149" w:hanging="1440"/>
      </w:pPr>
    </w:lvl>
    <w:lvl w:ilvl="8" w:tentative="0">
      <w:start w:val="1"/>
      <w:numFmt w:val="decimal"/>
      <w:isLgl/>
      <w:lvlText w:val="%1.%2.%3.%4.%5.%6.%7.%8.%9"/>
      <w:lvlJc w:val="left"/>
      <w:pPr>
        <w:ind w:left="2509" w:hanging="1800"/>
      </w:pPr>
    </w:lvl>
  </w:abstractNum>
  <w:abstractNum w:abstractNumId="2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9"/>
  </w:num>
  <w:num w:numId="2">
    <w:abstractNumId w:val="22"/>
  </w:num>
  <w:num w:numId="3">
    <w:abstractNumId w:val="2"/>
  </w:num>
  <w:num w:numId="4">
    <w:abstractNumId w:val="17"/>
  </w:num>
  <w:num w:numId="5">
    <w:abstractNumId w:val="3"/>
  </w:num>
  <w:num w:numId="6">
    <w:abstractNumId w:val="15"/>
  </w:num>
  <w:num w:numId="7">
    <w:abstractNumId w:val="12"/>
  </w:num>
  <w:num w:numId="8">
    <w:abstractNumId w:val="16"/>
  </w:num>
  <w:num w:numId="9">
    <w:abstractNumId w:val="9"/>
  </w:num>
  <w:num w:numId="10">
    <w:abstractNumId w:val="13"/>
  </w:num>
  <w:num w:numId="11">
    <w:abstractNumId w:val="20"/>
  </w:num>
  <w:num w:numId="12">
    <w:abstractNumId w:val="0"/>
  </w:num>
  <w:num w:numId="13">
    <w:abstractNumId w:val="4"/>
  </w:num>
  <w:num w:numId="14">
    <w:abstractNumId w:val="1"/>
  </w:num>
  <w:num w:numId="15">
    <w:abstractNumId w:val="6"/>
  </w:num>
  <w:num w:numId="16">
    <w:abstractNumId w:val="5"/>
  </w:num>
  <w:num w:numId="17">
    <w:abstractNumId w:val="8"/>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2"/>
    </w:lvlOverride>
  </w:num>
  <w:num w:numId="24">
    <w:abstractNumId w:val="22"/>
    <w:lvlOverride w:ilvl="0">
      <w:startOverride w:val="7"/>
    </w:lvlOverride>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78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5EF5"/>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6B5"/>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F8"/>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A0F"/>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9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568"/>
    <w:rsid w:val="001F1E25"/>
    <w:rsid w:val="001F2101"/>
    <w:rsid w:val="001F24FD"/>
    <w:rsid w:val="001F309E"/>
    <w:rsid w:val="001F489D"/>
    <w:rsid w:val="001F6E5A"/>
    <w:rsid w:val="00200047"/>
    <w:rsid w:val="00200D35"/>
    <w:rsid w:val="00201387"/>
    <w:rsid w:val="00202B93"/>
    <w:rsid w:val="00202DF1"/>
    <w:rsid w:val="00203009"/>
    <w:rsid w:val="00204F07"/>
    <w:rsid w:val="0020506F"/>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1F"/>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3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8A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696"/>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E97"/>
    <w:rsid w:val="0033109C"/>
    <w:rsid w:val="003317BE"/>
    <w:rsid w:val="0033294B"/>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354"/>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F1"/>
    <w:rsid w:val="003D5FF1"/>
    <w:rsid w:val="003D62DB"/>
    <w:rsid w:val="003E13A7"/>
    <w:rsid w:val="003E3C2E"/>
    <w:rsid w:val="003F06E8"/>
    <w:rsid w:val="003F0C88"/>
    <w:rsid w:val="003F2E01"/>
    <w:rsid w:val="003F3D59"/>
    <w:rsid w:val="003F4185"/>
    <w:rsid w:val="003F4302"/>
    <w:rsid w:val="003F49BD"/>
    <w:rsid w:val="003F6B9C"/>
    <w:rsid w:val="003F6EE2"/>
    <w:rsid w:val="003F7B94"/>
    <w:rsid w:val="00401E90"/>
    <w:rsid w:val="00404C0D"/>
    <w:rsid w:val="00404DE0"/>
    <w:rsid w:val="004056C7"/>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399"/>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7BC"/>
    <w:rsid w:val="00473CA9"/>
    <w:rsid w:val="00474497"/>
    <w:rsid w:val="0047572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93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8BB"/>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E2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53A"/>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A0C"/>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66"/>
    <w:rsid w:val="007230BF"/>
    <w:rsid w:val="00724566"/>
    <w:rsid w:val="00730A78"/>
    <w:rsid w:val="007323B6"/>
    <w:rsid w:val="00734AAD"/>
    <w:rsid w:val="00736134"/>
    <w:rsid w:val="00736B8F"/>
    <w:rsid w:val="00740BE4"/>
    <w:rsid w:val="0074397A"/>
    <w:rsid w:val="00746AE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11"/>
    <w:rsid w:val="007E3D0D"/>
    <w:rsid w:val="007E44C3"/>
    <w:rsid w:val="007E45A2"/>
    <w:rsid w:val="007E533B"/>
    <w:rsid w:val="007E5578"/>
    <w:rsid w:val="007E6935"/>
    <w:rsid w:val="007E6990"/>
    <w:rsid w:val="007E79C1"/>
    <w:rsid w:val="007F137E"/>
    <w:rsid w:val="007F3964"/>
    <w:rsid w:val="007F3D6F"/>
    <w:rsid w:val="007F584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B9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00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A0D"/>
    <w:rsid w:val="00A73BAF"/>
    <w:rsid w:val="00A75527"/>
    <w:rsid w:val="00A763EB"/>
    <w:rsid w:val="00A76842"/>
    <w:rsid w:val="00A76B48"/>
    <w:rsid w:val="00A77C4F"/>
    <w:rsid w:val="00A84B21"/>
    <w:rsid w:val="00A85592"/>
    <w:rsid w:val="00A85C06"/>
    <w:rsid w:val="00A875CF"/>
    <w:rsid w:val="00A900BE"/>
    <w:rsid w:val="00A905A1"/>
    <w:rsid w:val="00A93C8E"/>
    <w:rsid w:val="00A946E0"/>
    <w:rsid w:val="00A953D2"/>
    <w:rsid w:val="00A96BD5"/>
    <w:rsid w:val="00A96FA9"/>
    <w:rsid w:val="00A973C8"/>
    <w:rsid w:val="00AA1372"/>
    <w:rsid w:val="00AA3E12"/>
    <w:rsid w:val="00AA5B15"/>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E8F"/>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63"/>
    <w:rsid w:val="00B720FE"/>
    <w:rsid w:val="00B73964"/>
    <w:rsid w:val="00B74898"/>
    <w:rsid w:val="00B75A38"/>
    <w:rsid w:val="00B764B7"/>
    <w:rsid w:val="00B76D90"/>
    <w:rsid w:val="00B77248"/>
    <w:rsid w:val="00B777DC"/>
    <w:rsid w:val="00B77CD1"/>
    <w:rsid w:val="00B81043"/>
    <w:rsid w:val="00B90D94"/>
    <w:rsid w:val="00B90E02"/>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F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8C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03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97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6E"/>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0C"/>
    <w:rsid w:val="00F94BAD"/>
    <w:rsid w:val="00F954EF"/>
    <w:rsid w:val="00F95D2A"/>
    <w:rsid w:val="00FA1DBA"/>
    <w:rsid w:val="00FA2018"/>
    <w:rsid w:val="00FA22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F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6E00C06"/>
    <w:rsid w:val="680B3A96"/>
    <w:rsid w:val="73C5494C"/>
    <w:rsid w:val="7CEF241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qFormat="1" w:uiPriority="39" w:semiHidden="0" w:name="toc 4"/>
    <w:lsdException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uiPriority w:val="0"/>
    <w:rPr>
      <w:rFonts w:ascii="Cambria" w:hAnsi="Cambria" w:eastAsia="Times New Roman" w:cs="Times New Roman"/>
      <w:lang w:val="ro-RO"/>
    </w:rPr>
  </w:style>
  <w:style w:type="character" w:customStyle="1" w:styleId="49">
    <w:name w:val="Нижний колонтитул Знак"/>
    <w:basedOn w:val="10"/>
    <w:link w:val="36"/>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99"/>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164F7-BAE8-49B5-BA66-ED9B4D6370C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64</Pages>
  <Words>4778</Words>
  <Characters>30030</Characters>
  <Lines>1082</Lines>
  <Paragraphs>304</Paragraphs>
  <TotalTime>2001</TotalTime>
  <ScaleCrop>false</ScaleCrop>
  <LinksUpToDate>false</LinksUpToDate>
  <CharactersWithSpaces>34759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2026-05-15T07:34:09Z</dcterms:modified>
  <cp:revision>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4155FA33AA984822B68DE1D562CD35E0_12</vt:lpwstr>
  </property>
  <property fmtid="{D5CDD505-2E9C-101B-9397-08002B2CF9AE}" pid="4" name="KSOTemplateDocerSaveRecord">
    <vt:lpwstr>eyJoZGlkIjoiYjgxNzhjNDM1ZTNkMDM3OWFiYWYwODU4ODIyMWMzM2IifQ==</vt:lpwstr>
  </property>
</Properties>
</file>