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  <w:lang w:val="it-IT"/>
        </w:rPr>
      </w:pPr>
      <w:r>
        <w:rPr>
          <w:lang w:val="it-IT"/>
        </w:rPr>
        <w:t>Anexa nr. 2</w:t>
      </w:r>
    </w:p>
    <w:p>
      <w:pPr>
        <w:jc w:val="right"/>
        <w:rPr>
          <w:lang w:val="it-IT"/>
        </w:rPr>
      </w:pPr>
      <w:r>
        <w:rPr>
          <w:lang w:val="it-IT"/>
        </w:rPr>
        <w:t>la Documentația standard nr._115_</w:t>
      </w:r>
    </w:p>
    <w:p>
      <w:pPr>
        <w:jc w:val="right"/>
        <w:rPr>
          <w:lang w:val="it-IT"/>
        </w:rPr>
      </w:pPr>
      <w:r>
        <w:rPr>
          <w:lang w:val="it-IT"/>
        </w:rPr>
        <w:t>din “__15__” __09__ 2021__</w:t>
      </w:r>
    </w:p>
    <w:p>
      <w:pPr>
        <w:spacing w:before="120"/>
        <w:rPr>
          <w:sz w:val="20"/>
          <w:szCs w:val="20"/>
          <w:lang w:eastAsia="ru-RU"/>
        </w:rPr>
      </w:pPr>
    </w:p>
    <w:p>
      <w:pPr>
        <w:pStyle w:val="7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>
        <w:rPr>
          <w:b/>
          <w:sz w:val="28"/>
          <w:szCs w:val="28"/>
          <w:lang w:eastAsia="ru-RU"/>
        </w:rPr>
        <w:t xml:space="preserve">ANUNȚ DE PARTICIPARE </w:t>
      </w:r>
      <w:bookmarkEnd w:id="0"/>
    </w:p>
    <w:p>
      <w:pPr>
        <w:rPr>
          <w:sz w:val="20"/>
          <w:szCs w:val="20"/>
          <w:lang w:val="it-IT" w:eastAsia="ru-RU"/>
        </w:rPr>
      </w:pPr>
    </w:p>
    <w:p>
      <w:pPr>
        <w:shd w:val="clear" w:color="auto" w:fill="FFFFFF" w:themeFill="background1"/>
        <w:spacing w:before="120"/>
        <w:rPr>
          <w:b/>
          <w:lang w:val="it-IT" w:eastAsia="ru-RU"/>
        </w:rPr>
      </w:pPr>
      <w:r>
        <w:rPr>
          <w:b/>
          <w:lang w:val="it-IT" w:eastAsia="ru-RU"/>
        </w:rPr>
        <w:t xml:space="preserve">privind achiziționarea </w:t>
      </w:r>
      <w:r>
        <w:t>Produselor petroliere pentru anul 2023;</w:t>
      </w:r>
      <w:r>
        <w:rPr>
          <w:b/>
          <w:shd w:val="clear" w:color="auto" w:fill="FFFFFF" w:themeFill="background1"/>
          <w:lang w:val="it-IT" w:eastAsia="ru-RU"/>
        </w:rPr>
        <w:br w:type="textWrapping"/>
      </w:r>
      <w:r>
        <w:rPr>
          <w:b/>
          <w:lang w:val="it-IT" w:eastAsia="ru-RU"/>
        </w:rPr>
        <w:t xml:space="preserve">prin procedura de achiziție </w:t>
      </w:r>
      <w:r>
        <w:t>Licitație Deschisă;</w:t>
      </w:r>
      <w:r>
        <w:rPr>
          <w:b/>
          <w:lang w:val="it-IT" w:eastAsia="ru-RU"/>
        </w:rPr>
        <w:br w:type="textWrapping"/>
      </w:r>
    </w:p>
    <w:p>
      <w:pPr>
        <w:tabs>
          <w:tab w:val="left" w:pos="284"/>
          <w:tab w:val="right" w:pos="9531"/>
        </w:tabs>
        <w:spacing w:before="120"/>
        <w:rPr>
          <w:rFonts w:hint="default"/>
          <w:b/>
          <w:highlight w:val="yellow"/>
          <w:lang w:val="en-GB"/>
        </w:rPr>
      </w:pPr>
      <w:r>
        <w:rPr>
          <w:b/>
          <w:highlight w:val="yellow"/>
        </w:rPr>
        <w:t xml:space="preserve">*Procedura a fost inclusă în planul de achiziții publice a autorității contractante (Da/Nu): </w:t>
      </w:r>
      <w:r>
        <w:rPr>
          <w:rFonts w:hint="default"/>
          <w:b/>
          <w:highlight w:val="yellow"/>
          <w:lang w:val="en-GB"/>
        </w:rPr>
        <w:t>Nu</w:t>
      </w:r>
    </w:p>
    <w:p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lang w:val="it-IT" w:eastAsia="ru-RU"/>
        </w:rPr>
      </w:pPr>
      <w:r>
        <w:rPr>
          <w:b/>
          <w:highlight w:val="yellow"/>
        </w:rPr>
        <w:t>Link-ul către planul de achiziții publice publicat:________________________________________</w:t>
      </w:r>
    </w:p>
    <w:p>
      <w:pPr>
        <w:shd w:val="clear" w:color="auto" w:fill="FFFFFF" w:themeFill="background1"/>
        <w:rPr>
          <w:sz w:val="20"/>
          <w:szCs w:val="20"/>
          <w:lang w:val="it-IT" w:eastAsia="ru-RU"/>
        </w:rPr>
      </w:pP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 w:eastAsia="ru-RU"/>
        </w:rPr>
      </w:pPr>
      <w:r>
        <w:rPr>
          <w:b/>
          <w:lang w:val="en-US" w:eastAsia="ru-RU"/>
        </w:rPr>
        <w:t>Denumirea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autorității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contractante: Directia Invatamint A CR Leova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u-RU" w:eastAsia="ru-RU"/>
        </w:rPr>
      </w:pPr>
      <w:r>
        <w:rPr>
          <w:b/>
          <w:lang w:val="ru-RU" w:eastAsia="ru-RU"/>
        </w:rPr>
        <w:t>IDNO:</w:t>
      </w:r>
      <w:r>
        <w:rPr>
          <w:b/>
          <w:shd w:val="clear" w:color="auto" w:fill="FFFFFF" w:themeFill="background1"/>
          <w:lang w:val="en-US" w:eastAsia="ru-RU"/>
        </w:rPr>
        <w:t>1007601011331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 w:eastAsia="ru-RU"/>
        </w:rPr>
      </w:pPr>
      <w:r>
        <w:rPr>
          <w:b/>
          <w:lang w:val="en-US" w:eastAsia="ru-RU"/>
        </w:rPr>
        <w:t>Adresa</w:t>
      </w:r>
      <w:r>
        <w:rPr>
          <w:b/>
          <w:shd w:val="clear" w:color="auto" w:fill="FFFFFF" w:themeFill="background1"/>
          <w:lang w:val="en-US" w:eastAsia="ru-RU"/>
        </w:rPr>
        <w:t xml:space="preserve"> or. Leova str. Independentiei,3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 w:eastAsia="ru-RU"/>
        </w:rPr>
      </w:pPr>
      <w:r>
        <w:rPr>
          <w:b/>
          <w:lang w:val="en-US" w:eastAsia="ru-RU"/>
        </w:rPr>
        <w:t>Numărul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de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 xml:space="preserve">telefon/fax: </w:t>
      </w:r>
      <w:r>
        <w:rPr>
          <w:b/>
          <w:shd w:val="clear" w:color="auto" w:fill="FFFFFF" w:themeFill="background1"/>
          <w:lang w:val="en-US" w:eastAsia="ru-RU"/>
        </w:rPr>
        <w:t>0263-2-32-25; 0263-2-31-05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 xml:space="preserve">Adresa de e-mail și pagina web oficială ale autorității contractante: </w:t>
      </w:r>
      <w:r>
        <w:rPr>
          <w:b/>
          <w:shd w:val="clear" w:color="auto" w:fill="FFFFFF" w:themeFill="background1"/>
          <w:lang w:val="it-IT" w:eastAsia="ru-RU"/>
        </w:rPr>
        <w:t>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Adresa de e-mail sau pagina web oficială de la care se va putea obține accesul la documentația de atribuire: </w:t>
      </w:r>
      <w:r>
        <w:rPr>
          <w:b/>
          <w:i/>
          <w:lang w:val="it-IT" w:eastAsia="ru-RU"/>
        </w:rPr>
        <w:t>documentația de atribuire este anexată în cadrul procedurii în SIA RSAP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 w:eastAsia="ru-RU"/>
        </w:rPr>
      </w:pPr>
      <w:r>
        <w:rPr>
          <w:b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t>Instituție publică, și obiectul principal de activitate:</w:t>
      </w:r>
      <w:r>
        <w:rPr>
          <w:b/>
          <w:lang w:eastAsia="ru-RU"/>
        </w:rPr>
        <w:t xml:space="preserve"> Invatamint general secundar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 w:eastAsia="ru-RU"/>
        </w:rPr>
      </w:pPr>
      <w:r>
        <w:rPr>
          <w:b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Style w:val="4"/>
        <w:tblW w:w="0" w:type="auto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23"/>
        <w:gridCol w:w="1806"/>
        <w:gridCol w:w="1191"/>
        <w:gridCol w:w="1116"/>
        <w:gridCol w:w="3139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rPr>
                <w:b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Unitatea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rPr>
                <w:b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val="it-IT" w:eastAsia="ru-RU"/>
              </w:rPr>
            </w:pPr>
            <w:r>
              <w:t>Valoarea estimată, fără TVA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it-IT" w:eastAsia="ru-RU"/>
              </w:rPr>
            </w:pPr>
            <w:r>
              <w:rPr>
                <w:sz w:val="20"/>
                <w:szCs w:val="20"/>
                <w:lang w:val="it-IT" w:eastAsia="ru-RU"/>
              </w:rPr>
              <w:t>1.</w:t>
            </w:r>
          </w:p>
        </w:tc>
        <w:tc>
          <w:tcPr>
            <w:tcW w:w="152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it-IT" w:eastAsia="ru-RU"/>
              </w:rPr>
            </w:pPr>
            <w:r>
              <w:t>09100000-0</w:t>
            </w:r>
          </w:p>
        </w:tc>
        <w:tc>
          <w:tcPr>
            <w:tcW w:w="851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 xml:space="preserve"> Produse petroliere pentru anul 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09132000-3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t>Benzină Premium 95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litri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4100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t>Cifra octanică, COR, min. 95; Aspect limpede şi transparent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94425.00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09134200-9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Motorină EURO 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t>litri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39200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  <w:r>
              <w:t>Cifra cetanică, min. 51,0; Punct de inflamabilitate, min. 55°C; Densitate la 20°C, max 860,0 kg/m3 Viscozitate la 40°C 2,00-4,50 mm2/s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 w:eastAsia="ru-RU"/>
              </w:rPr>
            </w:pPr>
          </w:p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882000.00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1.3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09122000-0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i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i/>
                <w:sz w:val="20"/>
                <w:szCs w:val="20"/>
                <w:lang w:val="en-GB" w:eastAsia="ru-RU"/>
              </w:rPr>
              <w:t>Gaz lichifiat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liti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Gaz petrolier lichifiat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6600.00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 w:themeFill="background1"/>
              <w:spacing w:before="120"/>
              <w:jc w:val="center"/>
              <w:rPr>
                <w:rFonts w:hint="default"/>
                <w:sz w:val="20"/>
                <w:szCs w:val="20"/>
                <w:lang w:val="en-GB" w:eastAsia="ru-RU"/>
              </w:rPr>
            </w:pPr>
            <w:r>
              <w:rPr>
                <w:rFonts w:hint="default"/>
                <w:sz w:val="20"/>
                <w:szCs w:val="20"/>
                <w:lang w:val="en-GB" w:eastAsia="ru-RU"/>
              </w:rPr>
              <w:t>983025.00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>
        <w:rPr>
          <w:b/>
          <w:lang w:eastAsia="ru-RU"/>
        </w:rPr>
        <w:t>În cazul procedurilor de preselecție se indică numărul minim al candidaţilor şi, dacă este cazul, numărul maxim al acestora.</w:t>
      </w:r>
      <w:r>
        <w:t xml:space="preserve"> 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 w:eastAsia="ru-RU"/>
        </w:rPr>
      </w:pPr>
      <w:r>
        <w:rPr>
          <w:b/>
          <w:lang w:val="it-IT" w:eastAsia="ru-RU"/>
        </w:rPr>
        <w:t>În cazul în care contractul este împărțit pe loturi un operator economic poate depune oferta (se va selecta):</w:t>
      </w:r>
    </w:p>
    <w:p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lang w:val="ru-RU" w:eastAsia="ru-RU"/>
        </w:rPr>
      </w:pPr>
      <w:r>
        <w:rPr>
          <w:lang w:val="it-IT" w:eastAsia="ru-RU"/>
        </w:rPr>
        <w:t xml:space="preserve">Pentru un singur </w:t>
      </w:r>
      <w:r>
        <w:rPr>
          <w:lang w:val="ru-RU" w:eastAsia="ru-RU"/>
        </w:rPr>
        <w:t>lot</w:t>
      </w:r>
      <w:r>
        <w:rPr>
          <w:lang w:val="en-US" w:eastAsia="ru-RU"/>
        </w:rPr>
        <w:t>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 w:eastAsia="ru-RU"/>
        </w:rPr>
      </w:pPr>
      <w:r>
        <w:rPr>
          <w:b/>
          <w:lang w:val="en-US" w:eastAsia="ru-RU"/>
        </w:rPr>
        <w:t xml:space="preserve">Admiterea sau interzicerea ofertelor alternative: </w:t>
      </w:r>
      <w:r>
        <w:t>Nu se admite;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 xml:space="preserve">Termenii și condițiile de livrare/prestare solicitați: </w:t>
      </w:r>
      <w:r>
        <w:t>Livrarea bunurilor Beneficiarului se</w:t>
      </w:r>
      <w:r>
        <w:rPr>
          <w:b/>
          <w:lang w:val="it-IT" w:eastAsia="ru-RU"/>
        </w:rPr>
        <w:t xml:space="preserve"> </w:t>
      </w:r>
      <w:r>
        <w:t>va efectua pe parcursul anului 2023;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 w:eastAsia="ru-RU"/>
        </w:rPr>
      </w:pPr>
      <w:r>
        <w:rPr>
          <w:b/>
          <w:lang w:val="it-IT" w:eastAsia="ru-RU"/>
        </w:rPr>
        <w:t>Termenul de valabilitate a contractului: 31.12.2023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>
        <w:t>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ab/>
      </w:r>
      <w:r>
        <w:rPr>
          <w:b/>
          <w:lang w:val="it-IT" w:eastAsia="ru-RU"/>
        </w:rPr>
        <w:t xml:space="preserve">Prestarea serviciului este rezervată unei anumite profesii în temeiul unor legi sau al unor acte administrative (după caz):  </w:t>
      </w:r>
      <w:r>
        <w:t>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784"/>
        <w:gridCol w:w="4073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Criteriile de calificare și de selecție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sz w:val="20"/>
                <w:szCs w:val="20"/>
                <w:lang w:val="en-GB" w:eastAsia="ru-RU"/>
              </w:rPr>
              <w:t>(Descrierea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GB" w:eastAsia="ru-RU"/>
              </w:rPr>
              <w:t>criteriului/cerinței)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it-IT" w:eastAsia="ru-RU"/>
              </w:rPr>
            </w:pPr>
            <w:r>
              <w:rPr>
                <w:b/>
                <w:iCs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minim/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br w:type="textWrapping"/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Obligativitatea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Formular (DUAE) - Documentul unic de achiziții european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Formular DUAE completat și semnat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Cerere de Participare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Anexa nr. 7 la Doc. Standard completat- confirmat prin aplicarea semnăturii electronice.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DECLARAŢIE privind valabilitatea ofertei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Anexa nr. 8 la Doc. Standard completat- confirmat prin aplicarea semnăturii electronice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 xml:space="preserve">Scrisoare de garanția bancară în original, conform Anexei nr. 9 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Anexa nr. 9 la Doc. Standard (scrisoare de la bancă ) - confirmat prin aplicarea semnături electronice.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Specificații tehnice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Anexa nr. 22 la Doc. Standard completat- confirmat prin aplicarea semnăturii electronice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Specificații de preț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Anexa nr. 23 la Doc. Standard completat- confirmat prin aplicarea semnăturii electronice.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Obligatoriu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Licență de activitate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Licența de activitate (sau actul ce confirmă dreptul operatorului economic se presteze/livreze serviciile/bunurile solicitate)</w:t>
            </w: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  <w:r>
              <w:rPr>
                <w:lang w:eastAsia="zh-CN"/>
              </w:rPr>
              <w:t>Copie confirmată prin aplicarea semnăturii şi ştampilei Participantului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 w:eastAsia="ru-RU"/>
              </w:rPr>
            </w:pP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Garanția pentru ofertă, după caz </w:t>
      </w:r>
      <w:r>
        <w:t>Nu este cazul;</w:t>
      </w:r>
    </w:p>
    <w:p>
      <w:pPr>
        <w:pStyle w:val="6"/>
        <w:numPr>
          <w:numId w:val="0"/>
        </w:numPr>
        <w:ind w:leftChars="0" w:firstLine="480" w:firstLineChars="200"/>
        <w:rPr>
          <w:b/>
          <w:lang w:val="it-IT" w:eastAsia="ru-RU"/>
        </w:rPr>
      </w:pPr>
      <w:bookmarkStart w:id="2" w:name="_GoBack"/>
      <w:bookmarkEnd w:id="2"/>
      <w:r>
        <w:rPr>
          <w:b/>
          <w:lang w:val="it-IT" w:eastAsia="ru-RU"/>
        </w:rPr>
        <w:t xml:space="preserve">Garanția de bună execuție a contractului, </w:t>
      </w:r>
      <w:r>
        <w:t>Nu este cazul;</w:t>
      </w:r>
      <w:r>
        <w:rPr>
          <w:b/>
          <w:lang w:val="it-IT" w:eastAsia="ru-RU"/>
        </w:rPr>
        <w:t>.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 xml:space="preserve">Motivul recurgerii la procedura accelerată (în cazul licitației deschise, restrânse și a procedurii negociate), după caz </w:t>
      </w:r>
      <w:r>
        <w:t>Conform art.47 alin. (6) din Legea nr. 131 din 03.07.2015 privind achiziţiile publice;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>
        <w:t xml:space="preserve"> : Licitație electronică, pasul minim este de 0,5 %;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Condiții speciale de care depinde îndeplinirea contractului (</w:t>
      </w:r>
      <w:r>
        <w:rPr>
          <w:lang w:val="it-IT" w:eastAsia="ru-RU"/>
        </w:rPr>
        <w:t>indicați după caz</w:t>
      </w:r>
      <w:r>
        <w:rPr>
          <w:b/>
          <w:lang w:val="it-IT" w:eastAsia="ru-RU"/>
        </w:rPr>
        <w:t xml:space="preserve">): </w:t>
      </w:r>
    </w:p>
    <w:p>
      <w:pPr>
        <w:numPr>
          <w:ilvl w:val="0"/>
          <w:numId w:val="0"/>
        </w:numPr>
        <w:tabs>
          <w:tab w:val="right" w:pos="426"/>
        </w:tabs>
        <w:spacing w:before="120"/>
      </w:pPr>
      <w:r>
        <w:rPr>
          <w:rFonts w:hint="default"/>
          <w:lang w:val="en-GB"/>
        </w:rPr>
        <w:t>1.</w:t>
      </w:r>
      <w:r>
        <w:t>Carburantul se livrează la stația de alimentare în baza cardurilor emise de către Furnizor.</w:t>
      </w:r>
    </w:p>
    <w:p>
      <w:pPr>
        <w:numPr>
          <w:ilvl w:val="0"/>
          <w:numId w:val="0"/>
        </w:numPr>
        <w:tabs>
          <w:tab w:val="right" w:pos="426"/>
        </w:tabs>
        <w:spacing w:before="120"/>
      </w:pPr>
      <w:r>
        <w:rPr>
          <w:rFonts w:hint="default"/>
          <w:lang w:val="en-GB"/>
        </w:rPr>
        <w:t>2.</w:t>
      </w:r>
      <w:r>
        <w:t xml:space="preserve">Livrarea cardurilor se face pe baza unei cereri de emitere de card din partea autorității contractante. </w:t>
      </w:r>
    </w:p>
    <w:p>
      <w:pPr>
        <w:tabs>
          <w:tab w:val="right" w:pos="426"/>
        </w:tabs>
        <w:spacing w:before="120"/>
      </w:pPr>
      <w:r>
        <w:rPr>
          <w:rFonts w:hint="default"/>
          <w:lang w:val="en-GB"/>
        </w:rPr>
        <w:t>3</w:t>
      </w:r>
      <w:r>
        <w:t xml:space="preserve">. Furnizorul va asigura autorității contractante posibilitatea de a stabili limite individuale valorice pentru fiecare card, inclusiv de a le modifica în sensul majorării sau micșorării acestora. </w:t>
      </w:r>
    </w:p>
    <w:p>
      <w:pPr>
        <w:tabs>
          <w:tab w:val="right" w:pos="426"/>
        </w:tabs>
        <w:spacing w:before="120"/>
      </w:pPr>
      <w:r>
        <w:rPr>
          <w:rFonts w:hint="default"/>
          <w:lang w:val="en-GB"/>
        </w:rPr>
        <w:t>4</w:t>
      </w:r>
      <w:r>
        <w:t>. Furnizorul va acorda permanent achizitorului posibilitatea accesării online a informațiilor privind situația</w:t>
      </w:r>
      <w:r>
        <w:rPr>
          <w:b/>
          <w:lang w:eastAsia="ru-RU"/>
        </w:rPr>
        <w:t xml:space="preserve"> </w:t>
      </w:r>
      <w:r>
        <w:t>detaliată a tuturor achizițiilor de carburant efectuate de către fiecare autovehicul al său.</w:t>
      </w:r>
    </w:p>
    <w:p>
      <w:pPr>
        <w:tabs>
          <w:tab w:val="right" w:pos="426"/>
        </w:tabs>
        <w:spacing w:before="120"/>
      </w:pPr>
      <w:r>
        <w:t>7. Posibilitatea de a obține la orice stație de distribuție pe bază de card, informații privind valoarea rămasă pentru fiecare card în parte.</w:t>
      </w:r>
    </w:p>
    <w:p>
      <w:pPr>
        <w:tabs>
          <w:tab w:val="right" w:pos="426"/>
        </w:tabs>
        <w:spacing w:before="120"/>
      </w:pPr>
      <w:r>
        <w:t xml:space="preserve"> 8. Furnizorul va gestiona lista cardurilor pierdute sau furate şi are obligația să blocheze/deblocheze utilizarea acestora în cel mult 24 ore de la solicitarea achizitorului. </w:t>
      </w:r>
    </w:p>
    <w:p>
      <w:pPr>
        <w:tabs>
          <w:tab w:val="right" w:pos="426"/>
        </w:tabs>
        <w:spacing w:before="120"/>
      </w:pPr>
      <w:r>
        <w:t xml:space="preserve">9. Furnizorul va asigura: - personalizarea cardurilor pe fiecare autovehicul (pe număr de înmatriculare); - configurarea cardului pe tipul carburantului; </w:t>
      </w:r>
    </w:p>
    <w:p>
      <w:pPr>
        <w:tabs>
          <w:tab w:val="right" w:pos="426"/>
        </w:tabs>
        <w:spacing w:before="120"/>
        <w:rPr>
          <w:b/>
          <w:lang w:eastAsia="ru-RU"/>
        </w:rPr>
      </w:pPr>
      <w:r>
        <w:t>- asistență permanentă 24 h, 7 zile din săptămâna, pentru ca, în cazul apariției anumitor deficiențe în funcționarea cardurilor pentru carburant, Furnizorul sa fie în măsura să soluționeze problemele apărute în cel mai scurt timp posibil.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bookmarkStart w:id="1" w:name="_Hlk71621175"/>
      <w:r>
        <w:rPr>
          <w:b/>
          <w:lang w:val="it-IT" w:eastAsia="ru-RU"/>
        </w:rPr>
        <w:t>Ofertele se prezintă în valuta</w:t>
      </w:r>
      <w:bookmarkEnd w:id="1"/>
      <w:r>
        <w:t>lei MD;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Criteriul de evaluare aplicat pentru atribuirea contractului: </w:t>
      </w:r>
      <w:r>
        <w:rPr>
          <w:rFonts w:ascii="SimSun" w:hAnsi="SimSun" w:eastAsia="SimSun" w:cs="SimSun"/>
          <w:sz w:val="24"/>
          <w:szCs w:val="24"/>
        </w:rPr>
        <w:t>Cel mai bun raport calitate-preț;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val="it-IT" w:eastAsia="ru-RU"/>
        </w:rPr>
      </w:pPr>
      <w:r>
        <w:rPr>
          <w:b/>
          <w:lang w:val="it-IT" w:eastAsia="ru-RU"/>
        </w:rPr>
        <w:t>Factorii de evaluare a ofertei celei mai avantajoase din punct de vedere economic, precum și ponderile lor:</w:t>
      </w:r>
    </w:p>
    <w:p>
      <w:pPr>
        <w:tabs>
          <w:tab w:val="right" w:pos="426"/>
        </w:tabs>
        <w:spacing w:before="120"/>
        <w:ind w:left="360"/>
        <w:rPr>
          <w:b/>
          <w:lang w:val="it-IT" w:eastAsia="ru-RU"/>
        </w:rPr>
      </w:pPr>
    </w:p>
    <w:tbl>
      <w:tblPr>
        <w:tblStyle w:val="9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2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Ponderea%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  <w:r>
              <w:rPr>
                <w:rFonts w:hint="default"/>
                <w:iCs/>
                <w:lang w:val="ro-RO" w:eastAsia="ru-RU"/>
              </w:rPr>
              <w:t>1.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Prețul unitar ofertat (Pu) care se va calcula astfel:</w:t>
            </w:r>
          </w:p>
          <w:p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Pu</m:t>
                </m:r>
                <m:r>
                  <m:rPr/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M1+M2+…+M15</m:t>
                        </m:r>
                        <m:ctrlPr>
                          <w:rPr>
                            <w:rFonts w:ascii="Cambria Math" w:hAnsi="Cambria Math" w:cs="Cambria Math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hAnsi="Cambria Math"/>
                      </w:rPr>
                    </m:ctrlPr>
                  </m:den>
                </m:f>
                <m:r>
                  <m:rPr/>
                  <w:rPr>
                    <w:rFonts w:ascii="Cambria Math" w:hAnsi="Cambria Math"/>
                  </w:rPr>
                  <m:t>−D%</m:t>
                </m:r>
              </m:oMath>
            </m:oMathPara>
          </w:p>
          <w:p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</w:pPr>
            <w:r>
              <w:t>Unde,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jc w:val="both"/>
            </w:pPr>
            <w:r>
              <w:t>Pu – reprezintă prețul unitar ofertat;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jc w:val="both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–reprezintă media prețurilor afișate la </w:t>
            </w:r>
            <w:r>
              <w:rPr>
                <w:b/>
              </w:rPr>
              <w:t>toate stațiile din localitatea/regiunea specificată în pct. 1</w:t>
            </w:r>
            <w:r>
              <w:t xml:space="preserve"> pentru prima zi;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jc w:val="both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– reprezintă media prețurilor afișate la </w:t>
            </w:r>
            <w:r>
              <w:rPr>
                <w:b/>
              </w:rPr>
              <w:t>toate stațiile din localitatea/regiunea specificată în pct. 1</w:t>
            </w:r>
            <w:r>
              <w:t xml:space="preserve">  pentru a doua zi;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jc w:val="both"/>
            </w:pPr>
            <w:r>
              <w:t>M</w:t>
            </w:r>
            <w:r>
              <w:rPr>
                <w:vertAlign w:val="subscript"/>
              </w:rPr>
              <w:t>15</w:t>
            </w:r>
            <w:r>
              <w:t xml:space="preserve">– reprezintă media prețurilor afișate la </w:t>
            </w:r>
            <w:r>
              <w:rPr>
                <w:b/>
              </w:rPr>
              <w:t>toate stațiile din localitatea/regiunea specificată în pct. 1</w:t>
            </w:r>
            <w:r>
              <w:t xml:space="preserve">  pentru a cincisprezecea zi;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SimSun" w:hAnsi="SimSun" w:eastAsia="SimSun" w:cs="SimSun"/>
                <w:sz w:val="24"/>
                <w:szCs w:val="24"/>
                <w:lang w:val="ru-RU" w:eastAsia="ru-RU"/>
              </w:rPr>
            </w:pPr>
            <w:r>
              <w:t>D% –reprezintă discount-ul aplicat.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  <w:r>
              <w:rPr>
                <w:rFonts w:hint="default"/>
                <w:iCs/>
                <w:lang w:val="ro-RO" w:eastAsia="ru-RU"/>
              </w:rPr>
              <w:t xml:space="preserve">          60%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  <w:r>
              <w:rPr>
                <w:rFonts w:hint="default"/>
                <w:iCs/>
                <w:lang w:val="ro-RO" w:eastAsia="ru-RU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  <w:r>
              <w:rPr>
                <w:rFonts w:hint="default"/>
                <w:iCs/>
                <w:lang w:val="ro-RO" w:eastAsia="ru-RU"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</w:rPr>
              <w:t>Discount aplicat (D), %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  <w:r>
              <w:rPr>
                <w:rFonts w:hint="default"/>
                <w:iCs/>
                <w:lang w:val="ro-RO" w:eastAsia="ru-RU"/>
              </w:rPr>
              <w:t xml:space="preserve">             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7" w:type="dxa"/>
            <w:shd w:val="clear" w:color="auto" w:fill="auto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hint="default"/>
                <w:iCs/>
                <w:lang w:val="ro-RO" w:eastAsia="ru-RU"/>
              </w:rPr>
            </w:pPr>
          </w:p>
        </w:tc>
        <w:tc>
          <w:tcPr>
            <w:tcW w:w="9408" w:type="dxa"/>
            <w:gridSpan w:val="2"/>
            <w:shd w:val="clear" w:color="auto" w:fill="auto"/>
            <w:vAlign w:val="top"/>
          </w:tcPr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Algoritm de calcul: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Pentru cel mai mic Preț unitar ofertat (Pu mic) se acordă – 60 puncte;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Pentru un Preț unitar ofertat mai mare (Pu N) decât cel mai mic Preț unitar ofertat (Pu mic), se va acorda</w:t>
            </w: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punctaj în felul următor: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Punctaj (Preț) = (Pu mic / Pu N )*60 puncte.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Pentru cel mai mare Discount% oferit (Dmax)se acordă – 40 puncte;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Pentru un Discount% mai mic (DN) decât cel mai mare Discount% oferit (Dmax),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se va acorda punctaj în felul următor:</w:t>
            </w:r>
          </w:p>
          <w:p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left"/>
              <w:rPr>
                <w:rFonts w:hint="default" w:ascii="SimSun" w:hAnsi="SimSun" w:eastAsia="SimSun" w:cs="SimSun"/>
                <w:sz w:val="24"/>
                <w:szCs w:val="24"/>
                <w:lang w:val="ro-RO" w:eastAsia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Punctaj (Discount%) = (DN / Dmax) * 40 puncte.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Termenul limită de depunere/deschidere a ofertelor:</w:t>
      </w:r>
    </w:p>
    <w:p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 w:eastAsia="ru-RU"/>
        </w:rPr>
      </w:pPr>
      <w:r>
        <w:rPr>
          <w:b/>
          <w:lang w:eastAsia="ru-RU"/>
        </w:rPr>
        <w:t>conform SIA RSAP /p</w:t>
      </w:r>
      <w:r>
        <w:rPr>
          <w:b/>
          <w:lang w:val="en-US" w:eastAsia="ru-RU"/>
        </w:rPr>
        <w:t>ână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 xml:space="preserve">la: </w:t>
      </w:r>
      <w:r>
        <w:rPr>
          <w:b/>
          <w:i/>
          <w:lang w:val="en-US" w:eastAsia="ru-RU"/>
        </w:rPr>
        <w:t>[ora</w:t>
      </w:r>
      <w:r>
        <w:rPr>
          <w:b/>
          <w:i/>
          <w:lang w:eastAsia="ru-RU"/>
        </w:rPr>
        <w:t xml:space="preserve"> </w:t>
      </w:r>
      <w:r>
        <w:rPr>
          <w:b/>
          <w:i/>
          <w:lang w:val="en-US" w:eastAsia="ru-RU"/>
        </w:rPr>
        <w:t>exactă]</w:t>
      </w:r>
      <w:r>
        <w:t xml:space="preserve"> conform anunțului de participare electronic de pe platforma</w:t>
      </w:r>
      <w:r>
        <w:rPr>
          <w:b/>
          <w:lang w:val="en-US" w:eastAsia="ru-RU"/>
        </w:rPr>
        <w:t xml:space="preserve"> </w:t>
      </w:r>
      <w:r>
        <w:t>RSAP până la: [ora exactă] conform anunțului de participare electronic de pe platforma achizitii.md;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Adresa la care trebuie transmise ofertele sau cererile de participare: </w:t>
      </w:r>
    </w:p>
    <w:p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 w:eastAsia="ru-RU"/>
        </w:rPr>
      </w:pPr>
      <w:r>
        <w:rPr>
          <w:b/>
          <w:i/>
          <w:lang w:val="it-IT" w:eastAsia="ru-RU"/>
        </w:rPr>
        <w:t>Ofertele sau cererile de participare vor fi depuse electronic prin intermediul SIA RSAP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Termenul de valabilitate a ofertelor:</w:t>
      </w:r>
      <w:r>
        <w:t xml:space="preserve"> </w:t>
      </w:r>
      <w:r>
        <w:rPr>
          <w:rFonts w:hint="default"/>
          <w:lang w:val="en-GB"/>
        </w:rPr>
        <w:t>30</w:t>
      </w:r>
      <w:r>
        <w:t xml:space="preserve"> zile calendaristice din data deschiderii ofertelor;</w:t>
      </w:r>
    </w:p>
    <w:p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ru-RU" w:eastAsia="ru-RU"/>
        </w:rPr>
      </w:pPr>
      <w:r>
        <w:rPr>
          <w:b/>
          <w:lang w:val="en-US" w:eastAsia="ru-RU"/>
        </w:rPr>
        <w:t>Locul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deschiderii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 xml:space="preserve">ofertelor: </w:t>
      </w:r>
      <w:r>
        <w:t xml:space="preserve">Electronic prin intermediul SIA „RSAP”. </w:t>
      </w:r>
      <w:r>
        <w:rPr>
          <w:b/>
          <w:i/>
          <w:lang w:val="it-IT" w:eastAsia="ru-RU"/>
        </w:rPr>
        <w:t xml:space="preserve">Ofertele întârziate vor fi respinse. 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Persoanele autorizate să asiste la deschiderea ofertelor: </w:t>
      </w:r>
      <w:r>
        <w:rPr>
          <w:b/>
          <w:lang w:val="it-IT" w:eastAsia="ru-RU"/>
        </w:rPr>
        <w:br w:type="textWrapping"/>
      </w:r>
      <w:r>
        <w:rPr>
          <w:b/>
          <w:i/>
          <w:lang w:val="it-IT" w:eastAsia="ru-RU"/>
        </w:rPr>
        <w:t>Ofertanții sau reprezentanții acestora au dreptul să participe la deschiderea ofertelor, cu excepția cazului cînd ofertele au fost depuse prin SIA RSAP</w:t>
      </w:r>
      <w:r>
        <w:rPr>
          <w:b/>
          <w:lang w:val="it-IT" w:eastAsia="ru-RU"/>
        </w:rPr>
        <w:t>.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 w:eastAsia="ru-RU"/>
        </w:rPr>
      </w:pPr>
      <w:r>
        <w:rPr>
          <w:b/>
          <w:lang w:val="it-IT" w:eastAsia="ru-RU"/>
        </w:rPr>
        <w:t xml:space="preserve">Limba sau limbile în care trebuie redactate ofertele sau cererile de participare: </w:t>
      </w:r>
      <w:r>
        <w:t>Limba de stat.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>
        <w:rPr>
          <w:b/>
          <w:lang w:val="it-IT" w:eastAsia="ru-RU"/>
        </w:rPr>
        <w:t xml:space="preserve">Respectivul contract se referă la un proiect și/sau program finanțat din fonduri ale Uniunii Europene: </w:t>
      </w:r>
      <w:r>
        <w:t>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 xml:space="preserve">Denumirea și adresa organismului competent de soluționare a contestațiilor: 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>
        <w:rPr>
          <w:b/>
          <w:i/>
          <w:lang w:val="it-IT" w:eastAsia="ru-RU"/>
        </w:rPr>
        <w:t>Agenția Națională pentru Soluționarea Contestațiilor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>
        <w:rPr>
          <w:b/>
          <w:i/>
          <w:lang w:val="it-IT" w:eastAsia="ru-RU"/>
        </w:rPr>
        <w:t>Adresa: mun. Chișinău, bd. Ștefan cel Mare și Sfânt nr.124 (et.4), MD 2001;</w:t>
      </w:r>
    </w:p>
    <w:p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 w:eastAsia="ru-RU"/>
        </w:rPr>
      </w:pPr>
      <w:r>
        <w:rPr>
          <w:b/>
          <w:i/>
          <w:lang w:val="en-US" w:eastAsia="ru-RU"/>
        </w:rPr>
        <w:t>Tel/Fax/email:022-820 652, 022 820-651, contestatii@ansc.md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val="it-IT" w:eastAsia="ru-RU"/>
          <w14:textFill>
            <w14:solidFill>
              <w14:schemeClr w14:val="tx1"/>
            </w14:solidFill>
          </w14:textFill>
        </w:rPr>
      </w:pPr>
      <w:r>
        <w:rPr>
          <w:b/>
          <w:lang w:val="it-IT" w:eastAsia="ru-RU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>
        <w:t>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>În cazul achizițiilor periodice, calendarul estimat pentru publicarea anunțurilor viitoare</w:t>
      </w:r>
      <w:r>
        <w:rPr>
          <w:b/>
          <w:shd w:val="clear" w:color="auto" w:fill="FFFFFF" w:themeFill="background1"/>
          <w:lang w:val="it-IT" w:eastAsia="ru-RU"/>
        </w:rPr>
        <w:t>:</w:t>
      </w:r>
      <w:r>
        <w:t xml:space="preserve"> 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>
        <w:rPr>
          <w:b/>
          <w:lang w:val="it-IT" w:eastAsia="ru-RU"/>
        </w:rPr>
        <w:t xml:space="preserve">Data publicării anunțului de intenție sau, după caz, precizarea că nu a fost publicat un astfel de </w:t>
      </w:r>
      <w:r>
        <w:rPr>
          <w:b/>
          <w:shd w:val="clear" w:color="auto" w:fill="FFFFFF" w:themeFill="background1"/>
          <w:lang w:val="it-IT" w:eastAsia="ru-RU"/>
        </w:rPr>
        <w:t>anunţ:_______________________________________________________________________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Data transmiterii spre publicare a anunțului de participar</w:t>
      </w:r>
      <w:r>
        <w:rPr>
          <w:b/>
          <w:shd w:val="clear" w:color="auto" w:fill="FFFFFF" w:themeFill="background1"/>
          <w:lang w:val="it-IT" w:eastAsia="ru-RU"/>
        </w:rPr>
        <w:t>e:</w:t>
      </w:r>
      <w:r>
        <w:t xml:space="preserve"> Conform anunțului de participare electronic de pe platforma achizitii.md;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>
        <w:rPr>
          <w:b/>
          <w:lang w:val="it-IT" w:eastAsia="ru-RU"/>
        </w:rPr>
        <w:t>În cadrul procedurii de achiziție publică se va utiliza/accepta:</w:t>
      </w:r>
    </w:p>
    <w:tbl>
      <w:tblPr>
        <w:tblStyle w:val="9"/>
        <w:tblW w:w="0" w:type="auto"/>
        <w:tblInd w:w="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3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Denumirea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val="ru-RU" w:eastAsia="ru-RU"/>
              </w:rPr>
              <w:t>instrumentului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val="ru-RU" w:eastAsia="ru-RU"/>
              </w:rPr>
              <w:t>electronic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 w:eastAsia="ru-RU"/>
              </w:rPr>
            </w:pPr>
            <w:r>
              <w:rPr>
                <w:b/>
                <w:lang w:val="it-IT" w:eastAsia="ru-RU"/>
              </w:rPr>
              <w:t>Se va utiliza/accepta sau 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r>
              <w:rPr>
                <w:lang w:eastAsia="zh-CN"/>
              </w:rPr>
              <w:t>Accepta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Sistemul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de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comenzi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Facturarea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electronică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eastAsia="zh-CN"/>
              </w:rPr>
              <w:t>Accepta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Plățile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>
              <w:rPr>
                <w:lang w:eastAsia="zh-CN"/>
              </w:rPr>
              <w:t>Accepta</w:t>
            </w:r>
          </w:p>
        </w:tc>
      </w:tr>
    </w:tbl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t>Nu este cazul;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 w:eastAsia="ru-RU"/>
        </w:rPr>
      </w:pPr>
      <w:r>
        <w:rPr>
          <w:b/>
          <w:lang w:val="en-US" w:eastAsia="ru-RU"/>
        </w:rPr>
        <w:t>Alte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informații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 xml:space="preserve">relevante: </w:t>
      </w:r>
      <w:r>
        <w:t>Nu este cazul;</w:t>
      </w:r>
    </w:p>
    <w:p>
      <w:pPr>
        <w:shd w:val="clear" w:color="auto" w:fill="FFFFFF" w:themeFill="background1"/>
        <w:spacing w:before="120" w:after="120"/>
        <w:rPr>
          <w:b/>
          <w:lang w:val="en-US" w:eastAsia="ru-RU"/>
        </w:rPr>
      </w:pPr>
    </w:p>
    <w:p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lang w:val="it-IT" w:eastAsia="ru-RU"/>
        </w:rPr>
        <w:t xml:space="preserve">Conducătorul grupului de lucru:  Ana Florea </w:t>
      </w:r>
      <w:r>
        <w:rPr>
          <w:b/>
          <w:shd w:val="clear" w:color="auto" w:fill="FFFFFF" w:themeFill="background1"/>
          <w:lang w:val="it-IT" w:eastAsia="ru-RU"/>
        </w:rPr>
        <w:t xml:space="preserve">______________________________  </w:t>
      </w:r>
      <w:r>
        <w:rPr>
          <w:b/>
        </w:rPr>
        <w:t>.</w:t>
      </w:r>
    </w:p>
    <w:p/>
    <w:sectPr>
      <w:pgSz w:w="12240" w:h="15840"/>
      <w:pgMar w:top="576" w:right="576" w:bottom="576" w:left="169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316D5"/>
    <w:multiLevelType w:val="multilevel"/>
    <w:tmpl w:val="2E3316D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multilevel"/>
    <w:tmpl w:val="3E3D676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multilevel"/>
    <w:tmpl w:val="69B91E2C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507C5D"/>
    <w:multiLevelType w:val="multilevel"/>
    <w:tmpl w:val="7F507C5D"/>
    <w:lvl w:ilvl="0" w:tentative="0">
      <w:start w:val="1"/>
      <w:numFmt w:val="decimal"/>
      <w:pStyle w:val="6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26035F"/>
    <w:rsid w:val="00262591"/>
    <w:rsid w:val="002904B3"/>
    <w:rsid w:val="0032482C"/>
    <w:rsid w:val="004051C0"/>
    <w:rsid w:val="004075E4"/>
    <w:rsid w:val="004F4D52"/>
    <w:rsid w:val="005476CE"/>
    <w:rsid w:val="00635D3A"/>
    <w:rsid w:val="009B0019"/>
    <w:rsid w:val="00A67305"/>
    <w:rsid w:val="00AC7657"/>
    <w:rsid w:val="00C27A11"/>
    <w:rsid w:val="00D0281E"/>
    <w:rsid w:val="00D44A73"/>
    <w:rsid w:val="00E82244"/>
    <w:rsid w:val="0F340DF6"/>
    <w:rsid w:val="134951A9"/>
    <w:rsid w:val="4B4D7F38"/>
    <w:rsid w:val="616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link w:val="10"/>
    <w:qFormat/>
    <w:uiPriority w:val="34"/>
    <w:pPr>
      <w:numPr>
        <w:ilvl w:val="0"/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7">
    <w:name w:val="Style3"/>
    <w:basedOn w:val="2"/>
    <w:link w:val="8"/>
    <w:qFormat/>
    <w:uiPriority w:val="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eastAsia="Times New Roman" w:cs="Times New Roman"/>
      <w:b/>
      <w:color w:val="auto"/>
      <w:lang w:val="en-US" w:eastAsia="ru-RU"/>
    </w:rPr>
  </w:style>
  <w:style w:type="character" w:customStyle="1" w:styleId="8">
    <w:name w:val="Style3 Char"/>
    <w:link w:val="7"/>
    <w:qFormat/>
    <w:uiPriority w:val="0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table" w:customStyle="1" w:styleId="9">
    <w:name w:val="Griglia tabella2"/>
    <w:basedOn w:val="4"/>
    <w:qFormat/>
    <w:uiPriority w:val="39"/>
    <w:pPr>
      <w:spacing w:after="0" w:line="240" w:lineRule="auto"/>
    </w:pPr>
    <w:rPr>
      <w:rFonts w:eastAsia="SimSu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Абзац списка Знак"/>
    <w:link w:val="6"/>
    <w:qFormat/>
    <w:locked/>
    <w:uiPriority w:val="34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Заголовок 3 Знак"/>
    <w:basedOn w:val="3"/>
    <w:link w:val="2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C7C4-2696-47B8-A9DE-724031414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1457</Words>
  <Characters>8307</Characters>
  <Lines>69</Lines>
  <Paragraphs>19</Paragraphs>
  <TotalTime>10</TotalTime>
  <ScaleCrop>false</ScaleCrop>
  <LinksUpToDate>false</LinksUpToDate>
  <CharactersWithSpaces>9745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2021-10-26T20:29:00Z</dcterms:created>
  <dc:creator>Postolache Natalia</dc:creator>
  <cp:lastModifiedBy>My PC</cp:lastModifiedBy>
  <dcterms:modified xsi:type="dcterms:W3CDTF">2023-01-18T08:27:27Z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991C3D0644434921B02C46C26B233B8E</vt:lpwstr>
  </property>
</Properties>
</file>