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</w:r>
      <w:r>
        <w:rPr>
          <w:b/>
          <w:sz w:val="28"/>
          <w:szCs w:val="28"/>
          <w:lang w:eastAsia="ru-RU"/>
        </w:rPr>
      </w:r>
      <w:r>
        <w:rPr>
          <w:b/>
          <w:sz w:val="28"/>
          <w:szCs w:val="28"/>
          <w:lang w:eastAsia="ru-RU"/>
        </w:rPr>
      </w:r>
    </w:p>
    <w:p>
      <w:pPr>
        <w:pBdr/>
        <w:spacing/>
        <w:ind w:right="57"/>
        <w:rPr>
          <w:b/>
          <w:bCs/>
          <w:lang w:eastAsia="ru-RU"/>
        </w:rPr>
      </w:pPr>
      <w:r>
        <w:rPr>
          <w:b/>
          <w:bCs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pBdr/>
        <w:spacing/>
        <w:ind w:right="57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ANUNŢ DE PARTICIPARE </w:t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pBdr/>
        <w:spacing/>
        <w:ind w:right="57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 PENTRU</w:t>
      </w:r>
      <w:r>
        <w:rPr>
          <w:b/>
          <w:bCs/>
        </w:rPr>
        <w:t xml:space="preserve">CEREREA OFERTELOR DE PREȚURI</w:t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pBdr/>
        <w:spacing/>
        <w:ind w:right="57"/>
        <w:jc w:val="center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/>
        <w:ind w:right="57"/>
        <w:rPr>
          <w:b/>
          <w:bCs/>
        </w:rPr>
      </w:pPr>
      <w:r>
        <w:rPr>
          <w:b/>
          <w:bCs/>
          <w:lang w:eastAsia="ru-RU"/>
        </w:rPr>
        <w:t xml:space="preserve">Privind achiziţionarea</w:t>
      </w:r>
      <w:r>
        <w:rPr>
          <w:b/>
          <w:bCs/>
        </w:rPr>
        <w:t xml:space="preserve"> : </w:t>
      </w:r>
      <w:r>
        <w:rPr>
          <w:b/>
          <w:bCs/>
        </w:rPr>
        <w:t xml:space="preserve"> </w:t>
      </w:r>
      <w:r>
        <w:rPr>
          <w:b/>
          <w:bCs/>
        </w:rPr>
        <w:t xml:space="preserve">Mobilei în centru de plasament pentru victimile violenței în familie (mobilă de birou, mobilă pentru salon, mobilă pentru bucătărie)</w:t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 w:right="57"/>
        <w:rPr>
          <w:bCs/>
          <w:i/>
        </w:rPr>
      </w:pPr>
      <w:r>
        <w:rPr>
          <w:lang w:eastAsia="ru-RU"/>
        </w:rPr>
        <w:t xml:space="preserve">                                              </w:t>
      </w:r>
      <w:r>
        <w:rPr>
          <w:i/>
          <w:iCs/>
          <w:lang w:eastAsia="ru-RU"/>
        </w:rPr>
        <w:t xml:space="preserve"> (se indică obiectul achiziţiei)</w:t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 w:right="57"/>
        <w:rPr>
          <w:lang w:eastAsia="ru-RU"/>
        </w:rPr>
      </w:pPr>
      <w:r>
        <w:rPr>
          <w:bCs/>
        </w:rPr>
        <w:t xml:space="preserve">   </w:t>
      </w:r>
      <w:r>
        <w:rPr>
          <w:bCs/>
          <w:lang w:eastAsia="ru-RU"/>
        </w:rPr>
        <w:t xml:space="preserve">prin achiziţie</w:t>
      </w:r>
      <w:r>
        <w:rPr>
          <w:lang w:eastAsia="ru-RU"/>
        </w:rPr>
        <w:t xml:space="preserve"> publică de valoare mică. 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/>
        <w:ind w:right="57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 w:right="57"/>
        <w:rPr/>
      </w:pPr>
      <w:r>
        <w:rPr>
          <w:b/>
          <w:bCs/>
          <w:lang w:eastAsia="ru-RU"/>
        </w:rPr>
        <w:t xml:space="preserve">1.</w:t>
      </w:r>
      <w:r>
        <w:rPr>
          <w:bCs/>
          <w:lang w:eastAsia="ru-RU"/>
        </w:rPr>
        <w:t xml:space="preserve"> </w:t>
      </w:r>
      <w:r>
        <w:rPr>
          <w:b/>
          <w:bCs/>
          <w:lang w:eastAsia="ru-RU"/>
        </w:rPr>
        <w:t xml:space="preserve">Denumirea autorităţii contractante</w:t>
      </w:r>
      <w:r>
        <w:rPr>
          <w:b/>
          <w:bCs/>
        </w:rPr>
        <w:t xml:space="preserve">:</w:t>
      </w:r>
      <w:r>
        <w:t xml:space="preserve"> </w:t>
      </w:r>
      <w:r>
        <w:rPr>
          <w:color w:val="000000"/>
          <w:u w:val="single"/>
        </w:rPr>
        <w:t xml:space="preserve">Agenția Teritorială Asistență Socială Centru-Est</w:t>
      </w:r>
      <w:r/>
    </w:p>
    <w:p>
      <w:pPr>
        <w:pBdr/>
        <w:spacing w:line="276" w:lineRule="auto"/>
        <w:ind w:right="57"/>
        <w:rPr>
          <w:lang w:eastAsia="ru-RU"/>
        </w:rPr>
      </w:pPr>
      <w:r>
        <w:rPr>
          <w:b/>
          <w:bCs/>
          <w:lang w:eastAsia="ru-RU"/>
        </w:rPr>
        <w:t xml:space="preserve">2. IDNO</w:t>
      </w:r>
      <w:r>
        <w:rPr>
          <w:b/>
          <w:bCs/>
        </w:rPr>
        <w:t xml:space="preserve">:</w:t>
      </w:r>
      <w:r>
        <w:rPr>
          <w:color w:val="000000"/>
          <w:highlight w:val="white"/>
          <w:u w:val="single"/>
        </w:rPr>
        <w:t xml:space="preserve">1023601000197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 w:right="57"/>
        <w:rPr>
          <w:lang w:eastAsia="ru-RU"/>
        </w:rPr>
      </w:pPr>
      <w:r>
        <w:rPr>
          <w:b/>
          <w:bCs/>
          <w:lang w:eastAsia="ru-RU"/>
        </w:rPr>
        <w:t xml:space="preserve">3. Adresa</w:t>
      </w:r>
      <w:r>
        <w:rPr>
          <w:b/>
          <w:bCs/>
        </w:rPr>
        <w:t xml:space="preserve">:</w:t>
      </w:r>
      <w:r>
        <w:rPr>
          <w:b/>
          <w:bCs/>
          <w:color w:val="000000"/>
          <w:u w:val="single"/>
        </w:rPr>
        <w:t xml:space="preserve"> </w:t>
      </w:r>
      <w:r>
        <w:rPr>
          <w:color w:val="000000"/>
          <w:u w:val="single"/>
        </w:rPr>
        <w:t xml:space="preserve">mun. Orhei str.Creang</w:t>
      </w:r>
      <w:r>
        <w:rPr>
          <w:color w:val="000000"/>
          <w:u w:val="single"/>
        </w:rPr>
        <w:t xml:space="preserve">ă</w:t>
      </w:r>
      <w:r>
        <w:rPr>
          <w:color w:val="000000"/>
          <w:u w:val="single"/>
        </w:rPr>
        <w:t xml:space="preserve"> Ion nr. 1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 w:right="57"/>
        <w:rPr>
          <w:lang w:eastAsia="ru-RU"/>
        </w:rPr>
      </w:pPr>
      <w:r>
        <w:rPr>
          <w:b/>
          <w:bCs/>
          <w:lang w:eastAsia="ru-RU"/>
        </w:rPr>
        <w:t xml:space="preserve">4. Numărul de telefon</w:t>
      </w:r>
      <w:r>
        <w:rPr>
          <w:bCs/>
          <w:color w:val="000000" w:themeColor="text1"/>
        </w:rPr>
        <w:t xml:space="preserve">: </w:t>
      </w:r>
      <w:r>
        <w:rPr>
          <w:color w:val="000000" w:themeColor="text1"/>
          <w:highlight w:val="white"/>
          <w:u w:val="single"/>
        </w:rPr>
        <w:t xml:space="preserve">067117262 / </w:t>
      </w:r>
      <w:r>
        <w:rPr>
          <w:color w:val="000000" w:themeColor="text1"/>
          <w:highlight w:val="white"/>
          <w:u w:val="single"/>
        </w:rPr>
        <w:t xml:space="preserve">068</w:t>
      </w:r>
      <w:r>
        <w:rPr>
          <w:color w:val="000000" w:themeColor="text1"/>
          <w:u w:val="single"/>
        </w:rPr>
        <w:t xml:space="preserve">022810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 w:right="57"/>
        <w:rPr>
          <w:color w:val="000000"/>
          <w:lang w:val="en-GB"/>
        </w:rPr>
      </w:pPr>
      <w:r>
        <w:rPr>
          <w:b/>
          <w:bCs/>
          <w:lang w:eastAsia="ru-RU"/>
        </w:rPr>
        <w:t xml:space="preserve">5. Adresa de e-mail</w:t>
      </w:r>
      <w:r>
        <w:rPr>
          <w:bCs/>
          <w:lang w:eastAsia="ru-RU"/>
        </w:rPr>
        <w:t xml:space="preserve"> şi pagina web oficială ale autorităţii contractante</w:t>
      </w:r>
      <w:r>
        <w:rPr>
          <w:lang w:eastAsia="ru-RU"/>
        </w:rPr>
        <w:t xml:space="preserve"> </w:t>
      </w:r>
      <w:r>
        <w:t xml:space="preserve">:</w:t>
      </w:r>
      <w:r>
        <w:rPr>
          <w:color w:val="000000"/>
          <w:lang w:val="en-GB"/>
        </w:rPr>
        <w:t xml:space="preserve"> </w:t>
      </w:r>
      <w:r>
        <w:rPr>
          <w:color w:val="000000"/>
          <w:lang w:val="en-GB"/>
        </w:rPr>
      </w:r>
      <w:r>
        <w:rPr>
          <w:color w:val="000000"/>
          <w:lang w:val="en-GB"/>
        </w:rPr>
      </w:r>
    </w:p>
    <w:p>
      <w:pPr>
        <w:pStyle w:val="985"/>
        <w:pBdr/>
        <w:spacing/>
        <w:ind/>
        <w:rPr>
          <w:lang w:eastAsia="ru-RU"/>
        </w:rPr>
      </w:pPr>
      <w:r/>
      <w:hyperlink r:id="rId11" w:tooltip="mailto:atas.centru-est@social.gov.md" w:history="1">
        <w:r>
          <w:rPr>
            <w:rStyle w:val="1026"/>
            <w:highlight w:val="white"/>
          </w:rPr>
          <w:t xml:space="preserve">atas.centru-est@social.gov.md</w:t>
        </w:r>
      </w:hyperlink>
      <w:r>
        <w:rPr>
          <w:color w:val="000000"/>
          <w:highlight w:val="white"/>
          <w:u w:val="single"/>
          <w:lang w:val="en-GB"/>
        </w:rPr>
        <w:t xml:space="preserve"> </w:t>
      </w:r>
      <w:r>
        <w:rPr>
          <w:color w:val="000000"/>
          <w:u w:val="single"/>
          <w:lang w:val="en-GB"/>
        </w:rPr>
        <w:t xml:space="preserve"> </w:t>
      </w:r>
      <w:r>
        <w:rPr>
          <w:lang w:val="en-GB"/>
        </w:rPr>
        <w:t xml:space="preserve"> </w:t>
      </w:r>
      <w:r>
        <w:t xml:space="preserve">- </w:t>
      </w:r>
      <w:r>
        <w:rPr>
          <w:lang w:val="en-GB"/>
        </w:rPr>
        <w:t xml:space="preserve">  </w:t>
      </w:r>
      <w:hyperlink r:id="rId12" w:tooltip="https://restart.gov.md/" w:history="1">
        <w:r>
          <w:rPr>
            <w:rStyle w:val="1026"/>
            <w:b/>
            <w:bCs/>
          </w:rPr>
          <w:t xml:space="preserve">https://restart.gov.md/</w:t>
        </w:r>
      </w:hyperlink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 w:right="57"/>
        <w:rPr>
          <w:lang w:eastAsia="ru-RU"/>
        </w:rPr>
      </w:pPr>
      <w:r>
        <w:rPr>
          <w:b/>
          <w:bCs/>
          <w:lang w:eastAsia="ru-RU"/>
        </w:rPr>
        <w:t xml:space="preserve">6.</w:t>
      </w:r>
      <w:r>
        <w:rPr>
          <w:bCs/>
          <w:lang w:eastAsia="ru-RU"/>
        </w:rPr>
        <w:t xml:space="preserve"> Adresa de e-mail sau pagina web oficială de la care se va putea obţine accesul la documentaţia de atribuire: </w:t>
      </w:r>
      <w:r>
        <w:rPr>
          <w:bCs/>
          <w:i/>
          <w:iCs/>
          <w:lang w:eastAsia="ru-RU"/>
        </w:rPr>
        <w:t xml:space="preserve">documentaţia de atribuire este anexată în cadrul procedurii în SIA RSAP.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 w:right="57"/>
        <w:rPr>
          <w:lang w:eastAsia="ru-RU"/>
        </w:rPr>
      </w:pPr>
      <w:r>
        <w:rPr>
          <w:b/>
          <w:bCs/>
          <w:lang w:eastAsia="ru-RU"/>
        </w:rPr>
        <w:t xml:space="preserve">7. </w:t>
      </w:r>
      <w:r>
        <w:rPr>
          <w:bCs/>
          <w:lang w:eastAsia="ru-RU"/>
        </w:rPr>
        <w:t xml:space="preserve">Tipul autorităţii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Cs/>
        </w:rPr>
        <w:t xml:space="preserve">: </w:t>
      </w:r>
      <w:r>
        <w:rPr>
          <w:color w:val="000000"/>
          <w:lang w:val="en-GB"/>
        </w:rPr>
        <w:t xml:space="preserve"> </w:t>
      </w:r>
      <w:r>
        <w:rPr>
          <w:b/>
          <w:color w:val="000000"/>
        </w:rPr>
        <w:t xml:space="preserve"> </w:t>
      </w:r>
      <w:r>
        <w:rPr>
          <w:color w:val="000000"/>
          <w:u w:val="single"/>
        </w:rPr>
        <w:t xml:space="preserve">autoritate contractant</w:t>
      </w:r>
      <w:r>
        <w:rPr>
          <w:color w:val="000000"/>
          <w:u w:val="single"/>
        </w:rPr>
        <w:t xml:space="preserve">ă</w:t>
      </w:r>
      <w:r>
        <w:rPr>
          <w:color w:val="000000"/>
          <w:u w:val="single"/>
          <w:lang w:val="en-GB"/>
        </w:rPr>
        <w:t xml:space="preserve">, B</w:t>
      </w:r>
      <w:r>
        <w:rPr>
          <w:color w:val="000000"/>
          <w:u w:val="single"/>
        </w:rPr>
        <w:t xml:space="preserve">uget de </w:t>
      </w:r>
      <w:r>
        <w:rPr>
          <w:color w:val="000000"/>
          <w:u w:val="single"/>
          <w:lang w:val="en-GB"/>
        </w:rPr>
        <w:t xml:space="preserve">S</w:t>
      </w:r>
      <w:r>
        <w:rPr>
          <w:color w:val="000000"/>
          <w:u w:val="single"/>
        </w:rPr>
        <w:t xml:space="preserve">tat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 w:right="57"/>
        <w:rPr/>
      </w:pPr>
      <w:r>
        <w:rPr>
          <w:b/>
          <w:bCs/>
          <w:lang w:eastAsia="ru-RU"/>
        </w:rPr>
        <w:t xml:space="preserve">8.</w:t>
      </w:r>
      <w:r>
        <w:rPr>
          <w:bCs/>
          <w:lang w:eastAsia="ru-RU"/>
        </w:rPr>
        <w:t xml:space="preserve"> Cumpărătorul invită operatorii economici interesaţi, care îi pot satisface necesităţile, să participe la procedura de achiziţie privind livrarea/prestarea următoarelor bunuri/servicii:</w:t>
      </w:r>
      <w:r/>
    </w:p>
    <w:p>
      <w:pPr>
        <w:pBdr/>
        <w:spacing/>
        <w:ind w:right="57"/>
        <w:rPr/>
      </w:pPr>
      <w:r/>
      <w:r/>
    </w:p>
    <w:tbl>
      <w:tblPr>
        <w:tblStyle w:val="1020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1335"/>
        <w:gridCol w:w="1902"/>
        <w:gridCol w:w="1276"/>
        <w:gridCol w:w="1276"/>
        <w:gridCol w:w="3642"/>
      </w:tblGrid>
      <w:tr>
        <w:trPr>
          <w:trHeight w:val="1188"/>
        </w:trPr>
        <w:tc>
          <w:tcPr>
            <w:shd w:val="clear" w:color="dbd9d9" w:fill="dbd9d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Nr.de ordine</w:t>
            </w:r>
            <w:r/>
          </w:p>
        </w:tc>
        <w:tc>
          <w:tcPr>
            <w:shd w:val="clear" w:color="dbd9d9" w:fill="dbd9d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&quot;Times New Roman&quot;" w:hAnsi="&quot;Times New Roman&quot;" w:eastAsia="&quot;Times New Roman&quot;" w:cs="&quot;Times New Roman&quot;"/>
                <w:b/>
                <w:color w:val="000000"/>
                <w:sz w:val="22"/>
              </w:rPr>
              <w:t xml:space="preserve">Descrierea obiectului lotului</w:t>
            </w:r>
            <w:r/>
          </w:p>
        </w:tc>
        <w:tc>
          <w:tcPr>
            <w:shd w:val="clear" w:color="dbd9d9" w:fill="dbd9d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&quot;Times New Roman&quot;" w:hAnsi="&quot;Times New Roman&quot;" w:eastAsia="&quot;Times New Roman&quot;" w:cs="&quot;Times New Roman&quot;"/>
                <w:b/>
                <w:color w:val="000000"/>
                <w:sz w:val="22"/>
              </w:rPr>
              <w:t xml:space="preserve">Cantitatea</w:t>
            </w:r>
            <w:r/>
          </w:p>
        </w:tc>
        <w:tc>
          <w:tcPr>
            <w:shd w:val="clear" w:color="dbd9d9" w:fill="dbd9d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&quot;Times New Roman&quot;" w:hAnsi="&quot;Times New Roman&quot;" w:eastAsia="&quot;Times New Roman&quot;" w:cs="&quot;Times New Roman&quot;"/>
                <w:b/>
                <w:color w:val="000000"/>
                <w:sz w:val="22"/>
              </w:rPr>
              <w:t xml:space="preserve">Unitatea de măsura</w:t>
            </w:r>
            <w:r/>
          </w:p>
        </w:tc>
        <w:tc>
          <w:tcPr>
            <w:shd w:val="clear" w:color="dbd9d9" w:fill="dbd9d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&quot;Times New Roman&quot;" w:hAnsi="&quot;Times New Roman&quot;" w:eastAsia="&quot;Times New Roman&quot;" w:cs="&quot;Times New Roman&quot;"/>
                <w:b/>
                <w:color w:val="000000"/>
                <w:sz w:val="22"/>
              </w:rPr>
              <w:t xml:space="preserve">Denumire obiectului achiziţiei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nr.1 Pat etajat cu saltea. Valoarea estimativă a lotulul -18000 </w:t>
            </w:r>
            <w:r>
              <w:rPr>
                <w:b/>
                <w:color w:val="000000"/>
              </w:rPr>
              <w:t xml:space="preserve">.00 lei</w:t>
            </w:r>
            <w:r/>
          </w:p>
        </w:tc>
      </w:tr>
      <w:tr>
        <w:trPr>
          <w:trHeight w:val="1200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b/>
                <w:color w:val="000000"/>
                <w:sz w:val="22"/>
              </w:rPr>
              <w:t xml:space="preserve">Pat etajat cu saltea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8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buc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Culoarea gri/ maro, spațiul de dormit pentru ambele etaje: 90x200 cm. Distanța dintre etaje: 85 cm.Înălțimea 170 cm. Lățimea 98 cm.Lungimea 211 cm. Scara universală. Material din lemn.Saltele ortopedice 90x200 cm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nr.2</w:t>
            </w:r>
            <w:r>
              <w:rPr>
                <w:b/>
                <w:color w:val="000000"/>
                <w:sz w:val="22"/>
              </w:rPr>
              <w:t xml:space="preserve"> </w:t>
            </w:r>
            <w:r>
              <w:rPr>
                <w:b/>
                <w:color w:val="000000"/>
                <w:sz w:val="22"/>
              </w:rPr>
              <w:t xml:space="preserve">Patuc pentru copii cu saltea ortopedică .Valoarea estimativă a lotulul -24000</w:t>
            </w:r>
            <w:r>
              <w:rPr>
                <w:b/>
                <w:color w:val="000000"/>
              </w:rPr>
              <w:t xml:space="preserve">.00 lei</w:t>
            </w:r>
            <w:r/>
          </w:p>
        </w:tc>
      </w:tr>
      <w:tr>
        <w:trPr>
          <w:trHeight w:val="12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t xml:space="preserve">2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Patuc pentru copii cu saltea ortopedică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Patuc pentru copii cu saltea ortopedică, culoarea albă. 3 niveluri de reglare a înălțimii bazei.Funcții 2 în 1. Cu protecție înainte căderii. Material: lemn natural și elemente MDF. Dimensiuni: 124x64x65 cm. Culoarea albă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nr.3 Scaun de alimentare pentru copii. Valoarea estimativă a lotulul -8000 </w:t>
            </w:r>
            <w:r>
              <w:rPr>
                <w:b/>
                <w:color w:val="000000"/>
              </w:rPr>
              <w:t xml:space="preserve">.00 lei</w:t>
            </w:r>
            <w:r/>
          </w:p>
        </w:tc>
      </w:tr>
      <w:tr>
        <w:trPr>
          <w:trHeight w:val="70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3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Scaun de alimentare pentru copii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Scaun de masă, utilizare de la naștere până la 15 kg,dimensiuni deschise: 78 × 57 × 104 cm,dimensiuni pliat: 31,3 × 51 × 120 cm,suport interior confortabil pentru bebelușii mici,pliere rapidă și ușoară, stabilitate bună în poziție pliată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nr.4 Set de masă . Valoarea estimativă a lotulul -14400 </w:t>
            </w:r>
            <w:r>
              <w:rPr>
                <w:b/>
                <w:color w:val="000000"/>
              </w:rPr>
              <w:t xml:space="preserve">.00 lei</w:t>
            </w:r>
            <w:r/>
          </w:p>
        </w:tc>
      </w:tr>
      <w:tr>
        <w:trPr>
          <w:trHeight w:val="9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4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Set de masă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Masă reglabilă ,"Floare" grupa de inaltime 1-3, (5 sectiuni), Dimensiuni (Lx l ): 1350х1350 mm, Dimensiuni a unei mese (Lxl): 700х500 mm.Inaltime reglabila: 460-520-580 mm, Blatu</w:t>
            </w:r>
            <w:r>
              <w:rPr>
                <w:color w:val="000000"/>
              </w:rPr>
              <w:t xml:space="preserve">l realizat din PAL melaminat colorat de 16 mm cu cant din ABS de 1,00 mm, Blatul cu colturi rotunjite, Masa pentru lucru in grup de 5 copii si pentru fiecare copil individual, Culoarea blatului: orange; galben; lamaie verde; albastru; bej, albastru deschis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nr.5 Premergător pentru copii. Valoarea estimativă a lotulul - </w:t>
            </w:r>
            <w:r>
              <w:rPr>
                <w:b/>
                <w:color w:val="000000"/>
              </w:rPr>
              <w:t xml:space="preserve">2800.00 lei</w:t>
            </w:r>
            <w:r/>
          </w:p>
        </w:tc>
      </w:tr>
      <w:tr>
        <w:trPr>
          <w:trHeight w:val="9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5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b/>
                <w:color w:val="000000"/>
                <w:sz w:val="22"/>
              </w:rPr>
              <w:t xml:space="preserve">Premergător pentru copii.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Inaltime reglabila a premergatorului in mai multe pozitii, Masa cu panou de joc,  Îndepărtarea scaunului cu ușurință pentru curățare,  pliere compact, Siguranță și stabilitate în timpul primilor pași ai copilului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nr.6  Pat  pentru o persoană</w:t>
            </w:r>
            <w:r>
              <w:rPr>
                <w:b/>
                <w:color w:val="000000"/>
                <w:sz w:val="22"/>
              </w:rPr>
              <w:t xml:space="preserve"> cu saltea</w:t>
            </w:r>
            <w:r>
              <w:rPr>
                <w:b/>
                <w:color w:val="000000"/>
                <w:sz w:val="22"/>
              </w:rPr>
              <w:t xml:space="preserve">. Valoarea estimativă a lotulul - </w:t>
            </w:r>
            <w:r>
              <w:rPr>
                <w:b/>
                <w:color w:val="000000"/>
              </w:rPr>
              <w:t xml:space="preserve">32000.00 lei</w:t>
            </w:r>
            <w:r/>
          </w:p>
        </w:tc>
      </w:tr>
      <w:tr>
        <w:trPr>
          <w:trHeight w:val="15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6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  <w:sz w:val="22"/>
              </w:rPr>
              <w:t xml:space="preserve"> Pat  pentru o persoană</w:t>
            </w:r>
            <w:r>
              <w:rPr>
                <w:color w:val="000000"/>
                <w:sz w:val="22"/>
              </w:rPr>
              <w:t xml:space="preserve"> cu saltea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   Pat pentru o persoană, dimensiuni aproximative 90×200 cm, Structură re</w:t>
            </w:r>
            <w:r>
              <w:rPr>
                <w:color w:val="000000"/>
              </w:rPr>
              <w:t xml:space="preserve">zistentă din lemn/PAL, cu cadru stabil și suport pentru saltea (lamele sau placaj),  Compatibil cu saltea standard 90×200 cm, Finisaj durabil, ușor de întreținut,  Opțional: spațiu de depozitare (sertare sau ladă). culoare gri                              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nr.7 Pat medical pentru examinare . Valoarea estimativă a lotulul - </w:t>
            </w:r>
            <w:r>
              <w:rPr>
                <w:b/>
                <w:color w:val="000000"/>
              </w:rPr>
              <w:t xml:space="preserve">3500.00 lei</w:t>
            </w:r>
            <w:r/>
          </w:p>
        </w:tc>
      </w:tr>
      <w:tr>
        <w:trPr>
          <w:trHeight w:val="15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7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Pat medical pentru examinare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Carcasă - țevi pătrate 25х25х1.5mm, pat din PAL 16mm și porolona 20mm</w:t>
            </w:r>
            <w:r/>
          </w:p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, secția pentru cap reglabilă cu mecanism de nivele "Rostomat"</w:t>
            </w:r>
            <w:r/>
          </w:p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, tapițerie - piele sintetică, semi-moale, de culoare deschisă, </w:t>
            </w:r>
            <w:r>
              <w:rPr>
                <w:color w:val="000000"/>
              </w:rPr>
              <w:t xml:space="preserve">rezistentă la frecare și detergenți de dezinfectare, greautatea pe pat - 180kg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nr.8 </w:t>
            </w:r>
            <w:r>
              <w:rPr>
                <w:b/>
                <w:bCs/>
                <w:color w:val="000000"/>
                <w:sz w:val="22"/>
              </w:rPr>
              <w:t xml:space="preserve">Canapea </w:t>
            </w:r>
            <w:r>
              <w:rPr>
                <w:b/>
                <w:color w:val="000000"/>
                <w:sz w:val="22"/>
              </w:rPr>
              <w:t xml:space="preserve">. Valoarea estimativă a lotulul - </w:t>
            </w:r>
            <w:r>
              <w:rPr>
                <w:b/>
                <w:color w:val="000000"/>
              </w:rPr>
              <w:t xml:space="preserve">49500.00 lei</w:t>
            </w:r>
            <w:r/>
          </w:p>
        </w:tc>
      </w:tr>
      <w:tr>
        <w:trPr>
          <w:trHeight w:val="15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8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  <w:sz w:val="22"/>
              </w:rPr>
              <w:t xml:space="preserve">Canapea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Canapea 2–3 locuri, dimensiuni aproximative 240x100 cm, Structură din lemn, tapițerie din stofă, Șezut și spătar cu spumă poliuretanică pentru confort, Opțional: extensibilă,spațiul de dormit 190 x 150cm și cu ladă de depozitare. Culoara maro.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nr.9</w:t>
            </w:r>
            <w:r>
              <w:rPr>
                <w:b/>
                <w:color w:val="000000"/>
                <w:sz w:val="22"/>
              </w:rPr>
              <w:t xml:space="preserve"> </w:t>
            </w:r>
            <w:r>
              <w:rPr>
                <w:b/>
                <w:color w:val="000000"/>
                <w:sz w:val="22"/>
              </w:rPr>
              <w:t xml:space="preserve">Noptieră. Valoarea estimativă a lotulul - 9500</w:t>
            </w:r>
            <w:r>
              <w:rPr>
                <w:b/>
                <w:color w:val="000000"/>
              </w:rPr>
              <w:t xml:space="preserve">.00 lei</w:t>
            </w:r>
            <w:r/>
          </w:p>
        </w:tc>
      </w:tr>
      <w:tr>
        <w:trPr>
          <w:trHeight w:val="68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9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Noptieră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Noptieră, culoare gri,40x35x62,5 cm PAL,  Fabricate din PAL de inalt</w:t>
            </w:r>
            <w:r>
              <w:rPr>
                <w:color w:val="000000"/>
              </w:rPr>
              <w:t xml:space="preserve">a calitate, Finisaj gri, mat, Suprafata netedă si usor de curatat, Echipate cu 3 sertare spatioase,  Blat superior stabil si incapator, Design compact dar functional, Compartimentare inteligenta,  Dimensiuni lățime 40 cm, adâncimea 35 cm, înălțimea 62,5 cm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nr.10 Masă de birou . Valoarea estimativă a lotulul -</w:t>
            </w:r>
            <w:r>
              <w:rPr>
                <w:b/>
                <w:color w:val="000000"/>
                <w:sz w:val="22"/>
              </w:rPr>
              <w:t xml:space="preserve"> </w:t>
            </w:r>
            <w:r>
              <w:rPr>
                <w:b/>
                <w:color w:val="000000"/>
                <w:sz w:val="22"/>
              </w:rPr>
              <w:t xml:space="preserve">48000 </w:t>
            </w:r>
            <w:r>
              <w:rPr>
                <w:b/>
                <w:color w:val="000000"/>
              </w:rPr>
              <w:t xml:space="preserve">.00 lei</w:t>
            </w:r>
            <w:r/>
          </w:p>
        </w:tc>
      </w:tr>
      <w:tr>
        <w:trPr>
          <w:trHeight w:val="18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0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Masă de birou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Masă de birou modernă de culoare gri, din  PAL E1 cu finisaj melaminat, cu 3 sertare</w:t>
            </w:r>
            <w:r/>
          </w:p>
          <w:p>
            <w:pPr>
              <w:pBdr/>
              <w:spacing/>
              <w:ind/>
              <w:rPr/>
            </w:pPr>
            <w:r>
              <w:t xml:space="preserve">Latime: 60 cm</w:t>
            </w:r>
            <w:r/>
          </w:p>
          <w:p>
            <w:pPr>
              <w:pBdr/>
              <w:spacing/>
              <w:ind/>
              <w:rPr/>
            </w:pPr>
            <w:r>
              <w:t xml:space="preserve">Lungime: 140 cm</w:t>
            </w:r>
            <w:r/>
          </w:p>
          <w:p>
            <w:pPr>
              <w:pBdr/>
              <w:spacing/>
              <w:ind/>
              <w:rPr/>
            </w:pPr>
            <w:r>
              <w:t xml:space="preserve">Inaltime:72  cm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nr.11 Dulap de birou . Valoarea estimativă a lotulul - 35000</w:t>
            </w:r>
            <w:r>
              <w:rPr>
                <w:b/>
                <w:color w:val="000000"/>
              </w:rPr>
              <w:t xml:space="preserve">.00 lei</w:t>
            </w:r>
            <w:r/>
          </w:p>
        </w:tc>
      </w:tr>
      <w:tr>
        <w:trPr>
          <w:trHeight w:val="199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1d1d20"/>
              </w:rPr>
              <w:t xml:space="preserve">Dulap de birou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Dulap de birou Office, de culoare gri , tip închis cu două uși, Lățime :80 cm Înălțime : 200 cm</w:t>
            </w:r>
            <w:r/>
          </w:p>
          <w:p>
            <w:pPr>
              <w:pBdr/>
              <w:spacing/>
              <w:ind/>
              <w:rPr/>
            </w:pPr>
            <w:r>
              <w:t xml:space="preserve">5-6 rafturi</w:t>
            </w:r>
            <w:r/>
          </w:p>
          <w:p>
            <w:pPr>
              <w:pBdr/>
              <w:spacing/>
              <w:ind/>
              <w:rPr/>
            </w:pPr>
            <w:r>
              <w:t xml:space="preserve">Adâncime: 400 cm Materialul:PAL lamina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nr.12 Dulap pentru haine . Valoarea estimativă a lotulul - </w:t>
            </w:r>
            <w:r>
              <w:rPr>
                <w:b/>
                <w:color w:val="000000"/>
              </w:rPr>
              <w:t xml:space="preserve">78000.00 lei</w:t>
            </w:r>
            <w:r/>
          </w:p>
        </w:tc>
      </w:tr>
      <w:tr>
        <w:trPr>
          <w:trHeight w:val="99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2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1d1d20"/>
              </w:rPr>
              <w:t xml:space="preserve"> Dulap pentru haine</w:t>
            </w:r>
            <w:r>
              <w:rPr>
                <w:color w:val="000000"/>
              </w:rP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bookmarkStart w:id="0" w:name="_Hlk228798529"/>
            <w:r>
              <w:t xml:space="preserve">Dulap cu trei secțiuni și bară de haine. </w:t>
            </w:r>
            <w:bookmarkEnd w:id="0"/>
            <w:r>
              <w:t xml:space="preserve">Secțiunea inferioară cu  două sertare. Ușa centrală să fie oglindă lungă. Ghidajele cu rulmenți de înaltă calitate asigură o mișcare lină și silențioasă a sertarelor.Lățime :120 cm</w:t>
            </w:r>
            <w:r/>
          </w:p>
          <w:p>
            <w:pPr>
              <w:pBdr/>
              <w:spacing/>
              <w:ind/>
              <w:rPr/>
            </w:pPr>
            <w:r>
              <w:t xml:space="preserve">Înălțime : 200 cm</w:t>
            </w:r>
            <w:r/>
          </w:p>
          <w:p>
            <w:pPr>
              <w:pBdr/>
              <w:spacing/>
              <w:ind/>
              <w:rPr/>
            </w:pPr>
            <w:r>
              <w:t xml:space="preserve">Adâncime: 50 cm</w:t>
            </w:r>
            <w:r/>
          </w:p>
          <w:p>
            <w:pPr>
              <w:pBdr/>
              <w:spacing/>
              <w:ind/>
              <w:rPr/>
            </w:pPr>
            <w:r>
              <w:t xml:space="preserve">Materialul:PAL laminat</w:t>
            </w:r>
            <w:r/>
          </w:p>
          <w:p>
            <w:pPr>
              <w:pBdr/>
              <w:spacing/>
              <w:ind/>
              <w:rPr/>
            </w:pPr>
            <w:r>
              <w:t xml:space="preserve">Materialul fațadelor:PAL laminat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nr.13 Masă pentru bucătărie . Valoarea estimativă a lotulul - </w:t>
            </w:r>
            <w:r>
              <w:rPr>
                <w:b/>
                <w:color w:val="000000"/>
              </w:rPr>
              <w:t xml:space="preserve">1</w:t>
            </w:r>
            <w:r>
              <w:rPr>
                <w:b/>
                <w:color w:val="000000"/>
              </w:rPr>
              <w:t xml:space="preserve">80</w:t>
            </w:r>
            <w:r>
              <w:rPr>
                <w:b/>
                <w:color w:val="000000"/>
              </w:rPr>
              <w:t xml:space="preserve">00.00 lei</w:t>
            </w:r>
            <w:r/>
          </w:p>
        </w:tc>
      </w:tr>
      <w:tr>
        <w:trPr>
          <w:trHeight w:val="15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3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  <w:sz w:val="22"/>
              </w:rPr>
              <w:t xml:space="preserve">Masă pentru bucătărie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Masă pentru bucătărie dimensiuni 140*80*76 capacul mesei este din blat tip Egger sau similar cu gr.38 mm, prelucrat cu ABS 42*2 mm. Masa este amplasată pe carcas metalic din teavă 40*40, vopsit în câmp electrostatic.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nr.14 Fotoliu de birou   . Valoarea estimativă a lotulul -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9</w:t>
            </w:r>
            <w:r>
              <w:rPr>
                <w:b/>
                <w:color w:val="000000"/>
              </w:rPr>
              <w:t xml:space="preserve">000.00 lei</w:t>
            </w:r>
            <w:r/>
          </w:p>
        </w:tc>
      </w:tr>
      <w:tr>
        <w:trPr>
          <w:trHeight w:val="12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4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Fotoliu de birou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Scaun ergonomic, cu spătarul înalt, tapițat cu eco-pile, c</w:t>
            </w:r>
            <w:r>
              <w:rPr>
                <w:color w:val="000000"/>
              </w:rPr>
              <w:t xml:space="preserve">olare neagră, cu rotle și mecanism de înclinare și blocare. Dimensiunile scaunului: înălțimea scaunului 113-122 cm, înălțime șezut 47-57 cm, lățimea șezut 52 cm, adâncimea șezutului 49 cm, înălțime spătr-74 cm; lățimea totală -66 cmliu pentru birou rulant 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nr.15  Scaun cu spetează din lemn și stofă moale. Valoarea estimativă a lotulul -30000</w:t>
            </w:r>
            <w:r>
              <w:rPr>
                <w:b/>
                <w:color w:val="000000"/>
              </w:rPr>
              <w:t xml:space="preserve"> .00 lei</w:t>
            </w:r>
            <w:r/>
          </w:p>
        </w:tc>
      </w:tr>
      <w:tr>
        <w:trPr>
          <w:trHeight w:val="15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5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 Scaun cu spetează din lemn și stofă moale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Scaune cu spetează din lemn și stofă moale culoare cafeniu închis, înălțime-94cm, lățime-43 cm, adîncime-40 cm . (culoarea maro)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nr.16</w:t>
            </w:r>
            <w:r>
              <w:rPr>
                <w:b/>
                <w:bCs/>
                <w:color w:val="000000"/>
                <w:sz w:val="22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Scaun de birou gri</w:t>
            </w:r>
            <w:r>
              <w:rPr>
                <w:b/>
                <w:bCs/>
                <w:color w:val="000000"/>
                <w:sz w:val="22"/>
              </w:rPr>
              <w:t xml:space="preserve">. </w:t>
            </w:r>
            <w:r>
              <w:rPr>
                <w:b/>
                <w:color w:val="000000"/>
                <w:sz w:val="22"/>
              </w:rPr>
              <w:t xml:space="preserve">Valoarea estimativă a lotulul -</w:t>
            </w:r>
            <w:r>
              <w:rPr>
                <w:b/>
                <w:color w:val="000000"/>
              </w:rPr>
              <w:t xml:space="preserve"> 12000.00 lei</w:t>
            </w:r>
            <w:r/>
          </w:p>
        </w:tc>
      </w:tr>
      <w:tr>
        <w:trPr>
          <w:trHeight w:val="143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6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Scaun de birou gri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20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Fotoliu de birou înălțimea totală 125-135 cm, înălțimea șezut 45-55 cm, lățimea șezut 53- culoarea gri, cu roțile și mecanism de înclinare și blocare. Material pânză, plasă acril 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nr.17 Bean Bag. Valoarea estimativă a lotulul -</w:t>
            </w:r>
            <w:r>
              <w:rPr>
                <w:b/>
                <w:color w:val="000000"/>
              </w:rPr>
              <w:t xml:space="preserve"> 15000.00 lei</w:t>
            </w:r>
            <w:r/>
          </w:p>
        </w:tc>
      </w:tr>
      <w:tr>
        <w:trPr>
          <w:trHeight w:val="21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7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Bean Bag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Bean Bag, Țesetură mo</w:t>
            </w:r>
            <w:r>
              <w:rPr>
                <w:color w:val="000000"/>
              </w:rPr>
              <w:t xml:space="preserve">ale,plăcută la atingere precum veliurul,practic,frumos,confortabil.Fotoliul cu un mîner comod și practic, Caracteristicile :Inaltime spate: 125 cm, Diametru: 95 cm, Volum: 300 litri, Greutate: 3 kg, Încărcare: 150 kg, Umplutură: bile de polistiren 2-5 mm, </w:t>
            </w:r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nr.18 Masă transformer . Valoarea estimativă a lotulul -</w:t>
            </w:r>
            <w:r>
              <w:rPr>
                <w:b/>
                <w:color w:val="000000"/>
              </w:rPr>
              <w:t xml:space="preserve"> 15000.00 lei</w:t>
            </w:r>
            <w:r/>
          </w:p>
        </w:tc>
      </w:tr>
      <w:tr>
        <w:trPr>
          <w:trHeight w:val="15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8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Masă transformer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  <w:t xml:space="preserve">Masă transformer de culoare crem lucios, dimensiuni 80x45x90cm material PAL/PAL lucios cu extindere 180x82x80 cm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300"/>
        </w:trPr>
        <w:tc>
          <w:tcPr>
            <w:gridSpan w:val="5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4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color w:val="000000"/>
                <w:sz w:val="22"/>
              </w:rPr>
              <w:t xml:space="preserve">Lotul nr.19 Scaune pentru cantină . Valoarea estimativă a lotulul -</w:t>
            </w:r>
            <w:r>
              <w:rPr>
                <w:b/>
                <w:color w:val="000000"/>
              </w:rPr>
              <w:t xml:space="preserve"> 19500.00 lei</w:t>
            </w:r>
            <w:r/>
          </w:p>
        </w:tc>
      </w:tr>
      <w:tr>
        <w:trPr>
          <w:trHeight w:val="12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9</w:t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color w:val="000000"/>
              </w:rPr>
              <w:t xml:space="preserve">Scaune pentru cantină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</w:rPr>
              <w:t xml:space="preserve">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color w:val="000000"/>
                <w:sz w:val="22"/>
              </w:rPr>
              <w:t xml:space="preserve">buc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highlight w:val="none"/>
              </w:rPr>
            </w:pPr>
            <w:r>
              <w:t xml:space="preserve">Scaun pentru cantina, Materialul carcasei: metal</w:t>
            </w:r>
            <w:r>
              <w:tab/>
              <w:t xml:space="preserve">Materialul scaunului: piele ecologică, Spătarul: solid · Scaunul: moale, Bază: 4 picioare, Culoarea carcasei: crom, Culoarea scaunului: negru, Lățime: 40.5 cm, Adâncimea scaunului: 40.5 cm,  Înălțime totală: 79.5 cm, · Înălțime spătar: 31 cm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Bdr/>
              <w:spacing/>
              <w:ind/>
              <w:rPr/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</w:tc>
      </w:tr>
      <w:tr>
        <w:trPr>
          <w:trHeight w:val="49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gridSpan w:val="4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09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bCs/>
              </w:rPr>
              <w:t xml:space="preserve">Lotul nr.20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</w:rPr>
              <w:t xml:space="preserve">Scaun color  ISO</w:t>
            </w:r>
            <w:r>
              <w:rPr>
                <w:b/>
                <w:bCs/>
              </w:rPr>
              <w:t xml:space="preserve">. </w:t>
            </w:r>
            <w:r>
              <w:rPr>
                <w:b/>
                <w:color w:val="000000"/>
                <w:sz w:val="22"/>
              </w:rPr>
              <w:t xml:space="preserve">Valoarea estimativă a lotulul - 12000.00</w:t>
            </w:r>
            <w:r/>
          </w:p>
        </w:tc>
      </w:tr>
      <w:tr>
        <w:trPr>
          <w:trHeight w:val="12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0" w:before="0"/>
              <w:ind w:right="0" w:firstLine="0" w:left="0"/>
              <w:rPr>
                <w:rFonts w:ascii="Arial" w:hAnsi="Arial" w:eastAsia="Arial" w:cs="Arial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Scaun color  ISO</w:t>
            </w:r>
            <w:r>
              <w:rPr>
                <w:rFonts w:ascii="Arial" w:hAnsi="Arial" w:eastAsia="Arial" w:cs="Arial"/>
                <w:color w:val="003459"/>
                <w:sz w:val="24"/>
              </w:rPr>
              <w:t xml:space="preserve">  </w:t>
            </w:r>
            <w:r>
              <w:rPr>
                <w:rFonts w:ascii="Arial" w:hAnsi="Arial" w:eastAsia="Arial" w:cs="Arial"/>
                <w:sz w:val="24"/>
              </w:rPr>
            </w:r>
            <w:r>
              <w:rPr>
                <w:rFonts w:ascii="Arial" w:hAnsi="Arial" w:eastAsia="Arial" w:cs="Arial"/>
                <w:sz w:val="24"/>
              </w:rPr>
            </w:r>
          </w:p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buc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0" w:before="0"/>
              <w:ind w:right="0" w:firstLine="0" w:left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Scaun color  ISO  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numPr>
                <w:ilvl w:val="0"/>
                <w:numId w:val="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0"/>
              <w:ind w:right="0" w:firstLine="0" w:left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Spatarul si sezutul sunt fabricate din placaj vopsit usor curbat cu grosimea de 8 mm.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numPr>
                <w:ilvl w:val="0"/>
                <w:numId w:val="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0"/>
              <w:ind w:right="0" w:firstLine="0" w:left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Cadrul scaunului este realizat din profil metalic rotund cu diametrul de 16 mm si respectiv grosimea de 1,2 mm, vopsit in camp electrostatic si polimerizat.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numPr>
                <w:ilvl w:val="0"/>
                <w:numId w:val="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0"/>
              <w:ind w:right="0" w:firstLine="0" w:left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Placajul este acoperit cu vopsea acrilica pe baza de apa, non-toxica.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numPr>
                <w:ilvl w:val="0"/>
                <w:numId w:val="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0"/>
              <w:ind w:right="0" w:firstLine="0" w:left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Scaunul este prevazut cu garnituri din plastic rezistent.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numPr>
                <w:ilvl w:val="0"/>
                <w:numId w:val="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0"/>
              <w:ind w:right="0" w:firstLine="0" w:left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Toate piesele scaunului sunt asamblate cu nituri de aluminiu sigure.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numPr>
                <w:ilvl w:val="0"/>
                <w:numId w:val="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0"/>
              <w:ind w:right="0" w:firstLine="0" w:left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Culoarea carcasului: galben,verde.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numPr>
                <w:ilvl w:val="0"/>
                <w:numId w:val="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0"/>
              <w:ind w:right="0" w:firstLine="0" w:left="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Culoarea spătarului și șezutului: galben, rosu, albastru, verde.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/>
          </w:p>
        </w:tc>
      </w:tr>
      <w:tr>
        <w:trPr>
          <w:trHeight w:val="41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gridSpan w:val="4"/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095" w:type="dxa"/>
            <w:vAlign w:val="center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0" w:before="0"/>
              <w:ind w:right="0" w:firstLine="0" w:left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</w:r>
            <w:r>
              <w:rPr>
                <w:b/>
                <w:bCs/>
              </w:rPr>
              <w:t xml:space="preserve">Lotul nr.21 - </w:t>
            </w:r>
            <w:r>
              <w:rPr>
                <w:rFonts w:ascii="Times New Roman" w:hAnsi="Times New Roman" w:eastAsia="Times New Roman" w:cs="Times New Roman"/>
                <w:b/>
                <w:bCs/>
                <w:color w:val="222222"/>
                <w:spacing w:val="5"/>
                <w:sz w:val="24"/>
                <w:szCs w:val="24"/>
                <w:highlight w:val="white"/>
              </w:rPr>
              <w:t xml:space="preserve">Dulap cu sertare</w:t>
            </w:r>
            <w:r>
              <w:rPr>
                <w:b/>
                <w:bCs/>
              </w:rPr>
              <w:t xml:space="preserve">/comodă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</w:rPr>
            </w:r>
          </w:p>
        </w:tc>
      </w:tr>
      <w:tr>
        <w:trPr>
          <w:trHeight w:val="12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3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02" w:type="dxa"/>
            <w:vAlign w:val="center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0" w:before="0"/>
              <w:ind w:right="0" w:firstLine="0"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222222"/>
                <w:spacing w:val="5"/>
                <w:sz w:val="24"/>
                <w:szCs w:val="24"/>
                <w:highlight w:val="white"/>
              </w:rPr>
              <w:t xml:space="preserve">Dulap cu sertare în stil minimalist alb, potrivit ca comodă de dormitor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2500.00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42" w:type="dxa"/>
            <w:vAlign w:val="center"/>
            <w:vMerge w:val="restart"/>
            <w:textDirection w:val="lrTb"/>
            <w:noWrap w:val="false"/>
          </w:tcPr>
          <w:p>
            <w:pPr>
              <w:numPr>
                <w:ilvl w:val="0"/>
                <w:numId w:val="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60"/>
              <w:ind w:right="0" w:firstLine="0"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222222"/>
                <w:spacing w:val="5"/>
                <w:sz w:val="24"/>
                <w:szCs w:val="24"/>
              </w:rPr>
              <w:t xml:space="preserve">Material: PAL, folie de hârtie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numPr>
                <w:ilvl w:val="0"/>
                <w:numId w:val="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60"/>
              <w:ind w:right="0" w:firstLine="0"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222222"/>
                <w:spacing w:val="5"/>
                <w:sz w:val="24"/>
                <w:szCs w:val="24"/>
              </w:rPr>
              <w:t xml:space="preserve">Greutate: 19,3 kg. Capacitate de încărcare până la 50 kg.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numPr>
                <w:ilvl w:val="0"/>
                <w:numId w:val="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60"/>
              <w:ind w:right="0" w:firstLine="0"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222222"/>
                <w:spacing w:val="5"/>
                <w:sz w:val="24"/>
                <w:szCs w:val="24"/>
              </w:rPr>
              <w:t xml:space="preserve">Dimensiuni si greutate pachet: 78.00*48.00*20.00cm, 20.5kg.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numPr>
                <w:ilvl w:val="0"/>
                <w:numId w:val="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60"/>
              <w:ind w:right="0" w:firstLine="0"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222222"/>
                <w:spacing w:val="5"/>
                <w:sz w:val="24"/>
                <w:szCs w:val="24"/>
              </w:rPr>
              <w:t xml:space="preserve">Dimensiuni produs: L50*D40*H75cm(vezi imagine)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0" w:before="0"/>
              <w:ind w:right="0" w:firstLine="0"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</w:tbl>
    <w:p>
      <w:pPr>
        <w:pBdr/>
        <w:tabs>
          <w:tab w:val="left" w:leader="none" w:pos="6386"/>
        </w:tabs>
        <w:spacing/>
        <w:ind/>
        <w:jc w:val="center"/>
        <w:rPr>
          <w:rFonts w:asciiTheme="majorBidi" w:hAnsiTheme="majorBidi" w:cstheme="majorBidi"/>
          <w:lang w:eastAsia="ru-RU"/>
        </w:rPr>
      </w:pPr>
      <w:r>
        <w:rPr>
          <w:rFonts w:asciiTheme="majorBidi" w:hAnsiTheme="majorBidi" w:cstheme="majorBidi"/>
          <w:lang w:eastAsia="ru-RU"/>
        </w:rPr>
      </w:r>
      <w:r>
        <w:rPr>
          <w:rFonts w:asciiTheme="majorBidi" w:hAnsiTheme="majorBidi" w:cstheme="majorBidi"/>
          <w:lang w:eastAsia="ru-RU"/>
        </w:rPr>
      </w:r>
      <w:r>
        <w:rPr>
          <w:rFonts w:asciiTheme="majorBidi" w:hAnsiTheme="majorBidi" w:cstheme="majorBidi"/>
          <w:lang w:eastAsia="ru-RU"/>
        </w:rPr>
      </w:r>
    </w:p>
    <w:p>
      <w:pPr>
        <w:pBdr/>
        <w:tabs>
          <w:tab w:val="left" w:leader="none" w:pos="6386"/>
        </w:tabs>
        <w:spacing w:line="276" w:lineRule="auto"/>
        <w:ind/>
        <w:jc w:val="center"/>
        <w:rPr>
          <w:b/>
          <w:bCs/>
          <w:highlight w:val="none"/>
        </w:rPr>
      </w:pPr>
      <w:r>
        <w:rPr>
          <w:b/>
          <w:bCs/>
        </w:rPr>
        <w:t xml:space="preserve">Valoarea totală estimativă a loturilor fără TVA - 461 200.00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/>
        <w:tabs>
          <w:tab w:val="left" w:leader="none" w:pos="6386"/>
        </w:tabs>
        <w:spacing w:line="276" w:lineRule="auto"/>
        <w:ind/>
        <w:jc w:val="center"/>
        <w:rPr>
          <w:b/>
          <w:bCs/>
        </w:rPr>
      </w:pPr>
      <w:r>
        <w:rPr>
          <w:b/>
          <w:bCs/>
          <w:highlight w:val="none"/>
        </w:rPr>
      </w:r>
      <w:r>
        <w:rPr>
          <w:b/>
          <w:bCs/>
        </w:rPr>
      </w:r>
      <w:r>
        <w:rPr>
          <w:b/>
          <w:bCs/>
        </w:rPr>
      </w:r>
    </w:p>
    <w:p>
      <w:pPr>
        <w:pBdr/>
        <w:spacing w:line="276" w:lineRule="auto"/>
        <w:ind w:firstLine="567"/>
        <w:rPr>
          <w:lang w:eastAsia="ru-RU"/>
        </w:rPr>
      </w:pPr>
      <w:r>
        <w:rPr>
          <w:b/>
          <w:bCs/>
          <w:color w:val="000000" w:themeColor="text1"/>
          <w:lang w:eastAsia="ru-RU"/>
        </w:rPr>
        <w:t xml:space="preserve">9</w:t>
      </w:r>
      <w:r>
        <w:rPr>
          <w:bCs/>
          <w:lang w:eastAsia="ru-RU"/>
        </w:rPr>
        <w:t xml:space="preserve">. În cazul în care contractul este împărţit pe loturi, un operator economic poate depune oferta (se va selecta):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 w:firstLine="567"/>
        <w:rPr>
          <w:b/>
          <w:bCs/>
        </w:rPr>
      </w:pPr>
      <w:r>
        <w:rPr>
          <w:b/>
          <w:bCs/>
          <w:lang w:eastAsia="ru-RU"/>
        </w:rPr>
        <w:t xml:space="preserve">1) pentru un singur lot;</w:t>
      </w:r>
      <w:r>
        <w:rPr>
          <w:b/>
          <w:bCs/>
        </w:rPr>
      </w:r>
      <w:r>
        <w:rPr>
          <w:b/>
          <w:bCs/>
        </w:rPr>
      </w:r>
    </w:p>
    <w:p>
      <w:pPr>
        <w:pBdr/>
        <w:spacing w:line="276" w:lineRule="auto"/>
        <w:ind w:firstLine="567"/>
        <w:rPr/>
      </w:pPr>
      <w:r>
        <w:rPr>
          <w:lang w:eastAsia="ru-RU"/>
        </w:rPr>
        <w:t xml:space="preserve">2) </w:t>
      </w:r>
      <w:r>
        <w:rPr>
          <w:b/>
          <w:bCs/>
          <w:lang w:eastAsia="ru-RU"/>
        </w:rPr>
        <w:t xml:space="preserve">pentru mai multe loturi;</w:t>
      </w:r>
      <w:r/>
    </w:p>
    <w:p>
      <w:pPr>
        <w:pBdr/>
        <w:spacing w:line="276" w:lineRule="auto"/>
        <w:ind w:firstLine="567"/>
        <w:rPr>
          <w:lang w:eastAsia="ru-RU"/>
        </w:rPr>
      </w:pPr>
      <w:r>
        <w:rPr>
          <w:lang w:eastAsia="ru-RU"/>
        </w:rPr>
        <w:t xml:space="preserve">3) </w:t>
      </w:r>
      <w:r>
        <w:rPr>
          <w:b/>
          <w:bCs/>
          <w:lang w:eastAsia="ru-RU"/>
        </w:rPr>
        <w:t xml:space="preserve">pentru toate loturile;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 w:firstLine="567"/>
        <w:rPr>
          <w:lang w:eastAsia="ru-RU"/>
        </w:rPr>
      </w:pPr>
      <w:r>
        <w:rPr>
          <w:lang w:eastAsia="ru-RU"/>
        </w:rPr>
        <w:t xml:space="preserve">4) alte limitări privind numărul de loturi care pot fi atribuite aceluiaşi ofertant_________________________________________________________________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right" w:leader="none" w:pos="426"/>
        </w:tabs>
        <w:spacing w:before="120" w:line="276" w:lineRule="auto"/>
        <w:ind w:left="360"/>
        <w:rPr/>
      </w:pPr>
      <w:r>
        <w:rPr>
          <w:b/>
          <w:bCs/>
          <w:lang w:eastAsia="ru-RU"/>
        </w:rPr>
        <w:t xml:space="preserve">10</w:t>
      </w:r>
      <w:r>
        <w:rPr>
          <w:bCs/>
          <w:lang w:eastAsia="ru-RU"/>
        </w:rPr>
        <w:t xml:space="preserve">. Termenele şi condiţiile de livrare/prestare solicitate</w:t>
      </w:r>
      <w:r>
        <w:t xml:space="preserve"> :</w:t>
      </w:r>
      <w:r>
        <w:rPr>
          <w:rFonts w:ascii="Times" w:hAnsi="Times" w:cs="Times"/>
          <w:color w:val="000000"/>
          <w:u w:val="single"/>
        </w:rPr>
        <w:t xml:space="preserve">- în baza contractului și a comenzilor trimise de către autoritatea contractantă; cantitatea livrată va corespunde comenzii .</w:t>
      </w:r>
      <w:r/>
    </w:p>
    <w:p>
      <w:pPr>
        <w:pBdr/>
        <w:spacing w:line="276" w:lineRule="auto"/>
        <w:ind/>
        <w:rPr>
          <w:rFonts w:ascii="Times" w:hAnsi="Times" w:cs="Times"/>
          <w:color w:val="000000"/>
          <w:u w:val="single"/>
        </w:rPr>
      </w:pPr>
      <w:r>
        <w:rPr>
          <w:rFonts w:ascii="Times" w:hAnsi="Times" w:cs="Times"/>
          <w:b/>
          <w:color w:val="000000"/>
          <w:u w:val="single"/>
        </w:rPr>
        <w:t xml:space="preserve">Comenzile se vor emite</w:t>
      </w:r>
      <w:r>
        <w:rPr>
          <w:rFonts w:ascii="Times" w:hAnsi="Times" w:cs="Times"/>
          <w:color w:val="000000"/>
          <w:u w:val="single"/>
        </w:rPr>
        <w:t xml:space="preserve"> </w:t>
      </w:r>
      <w:r>
        <w:rPr>
          <w:rFonts w:ascii="Times" w:hAnsi="Times" w:cs="Times"/>
          <w:b/>
          <w:color w:val="000000"/>
          <w:u w:val="single"/>
        </w:rPr>
        <w:t xml:space="preserve">conform necesităților reale</w:t>
      </w:r>
      <w:r>
        <w:rPr>
          <w:rFonts w:ascii="Times" w:hAnsi="Times" w:cs="Times"/>
          <w:color w:val="000000"/>
          <w:u w:val="single"/>
        </w:rPr>
        <w:t xml:space="preserve">. </w:t>
      </w:r>
      <w:r>
        <w:rPr>
          <w:rFonts w:ascii="Times" w:hAnsi="Times" w:cs="Times"/>
          <w:color w:val="000000"/>
          <w:u w:val="single"/>
        </w:rPr>
      </w:r>
      <w:r>
        <w:rPr>
          <w:rFonts w:ascii="Times" w:hAnsi="Times" w:cs="Times"/>
          <w:color w:val="000000"/>
          <w:u w:val="single"/>
        </w:rPr>
      </w:r>
    </w:p>
    <w:p>
      <w:pPr>
        <w:pBdr/>
        <w:spacing w:line="276" w:lineRule="auto"/>
        <w:ind/>
        <w:rPr>
          <w:rFonts w:ascii="Times" w:hAnsi="Times" w:cs="Times"/>
          <w:color w:val="000000"/>
          <w:u w:val="single"/>
        </w:rPr>
      </w:pPr>
      <w:r>
        <w:rPr>
          <w:rFonts w:ascii="Times" w:hAnsi="Times" w:cs="Times"/>
          <w:color w:val="000000"/>
          <w:u w:val="single"/>
        </w:rPr>
        <w:t xml:space="preserve">Livrările se vor face pentru cantitățile din comandă în termen </w:t>
      </w:r>
      <w:r>
        <w:rPr>
          <w:rFonts w:ascii="Times" w:hAnsi="Times" w:cs="Times"/>
          <w:b/>
          <w:color w:val="000000"/>
          <w:u w:val="single"/>
        </w:rPr>
        <w:t xml:space="preserve">de maxim </w:t>
      </w:r>
      <w:r>
        <w:rPr>
          <w:rFonts w:ascii="Times" w:hAnsi="Times" w:cs="Times"/>
          <w:b/>
          <w:color w:val="000000"/>
          <w:u w:val="single"/>
        </w:rPr>
        <w:t xml:space="preserve">90</w:t>
      </w:r>
      <w:r>
        <w:rPr>
          <w:rFonts w:ascii="Times" w:hAnsi="Times" w:cs="Times"/>
          <w:b/>
          <w:color w:val="000000"/>
          <w:u w:val="single"/>
        </w:rPr>
        <w:t xml:space="preserve"> de  zile de la data primirii comenzii achizitorului</w:t>
      </w:r>
      <w:r>
        <w:rPr>
          <w:rFonts w:ascii="Times" w:hAnsi="Times" w:cs="Times"/>
          <w:color w:val="000000"/>
          <w:u w:val="single"/>
        </w:rPr>
        <w:t xml:space="preserve">  la următoare</w:t>
      </w:r>
      <w:r>
        <w:rPr>
          <w:rFonts w:ascii="Times" w:hAnsi="Times" w:cs="Times"/>
          <w:color w:val="000000"/>
          <w:u w:val="single"/>
        </w:rPr>
        <w:t xml:space="preserve">a</w:t>
      </w:r>
      <w:r>
        <w:rPr>
          <w:rFonts w:ascii="Times" w:hAnsi="Times" w:cs="Times"/>
          <w:color w:val="000000"/>
          <w:u w:val="single"/>
        </w:rPr>
        <w:t xml:space="preserve"> adres</w:t>
      </w:r>
      <w:r>
        <w:rPr>
          <w:rFonts w:ascii="Times" w:hAnsi="Times" w:cs="Times"/>
          <w:color w:val="000000"/>
          <w:u w:val="single"/>
        </w:rPr>
        <w:t xml:space="preserve">ă</w:t>
      </w:r>
      <w:r>
        <w:rPr>
          <w:rFonts w:ascii="Times" w:hAnsi="Times" w:cs="Times"/>
          <w:color w:val="000000"/>
          <w:u w:val="single"/>
        </w:rPr>
        <w:t xml:space="preserve">:</w:t>
      </w:r>
      <w:r>
        <w:rPr>
          <w:rFonts w:ascii="Times" w:hAnsi="Times" w:cs="Times"/>
          <w:color w:val="000000"/>
          <w:u w:val="single"/>
        </w:rPr>
      </w:r>
      <w:r>
        <w:rPr>
          <w:rFonts w:ascii="Times" w:hAnsi="Times" w:cs="Times"/>
          <w:color w:val="000000"/>
          <w:u w:val="single"/>
        </w:rPr>
      </w:r>
    </w:p>
    <w:p>
      <w:pPr>
        <w:pBdr/>
        <w:spacing w:line="276" w:lineRule="auto"/>
        <w:ind w:right="51" w:left="17"/>
        <w:contextualSpacing w:val="true"/>
        <w:rPr>
          <w:b/>
          <w:bCs/>
        </w:rPr>
      </w:pPr>
      <w:r>
        <w:rPr>
          <w:b/>
        </w:rPr>
        <w:t xml:space="preserve">                   STAS Telenești</w:t>
      </w:r>
      <w:r>
        <w:t xml:space="preserve">  (</w:t>
      </w:r>
      <w:r>
        <w:t xml:space="preserve">Or Telenești str. Renașteri</w:t>
      </w:r>
      <w:r>
        <w:t xml:space="preserve">i 69 ); </w:t>
      </w:r>
      <w:r>
        <w:rPr>
          <w:b/>
        </w:rPr>
        <w:t xml:space="preserve">    </w:t>
      </w:r>
      <w:r>
        <w:rPr>
          <w:b/>
          <w:bCs/>
        </w:rPr>
      </w:r>
      <w:r>
        <w:rPr>
          <w:b/>
          <w:bCs/>
        </w:rPr>
      </w:r>
    </w:p>
    <w:p>
      <w:pPr>
        <w:pBdr/>
        <w:spacing w:line="276" w:lineRule="auto"/>
        <w:ind/>
        <w:rPr>
          <w:bCs/>
          <w:i/>
          <w:u w:val="single"/>
        </w:rPr>
      </w:pPr>
      <w:r>
        <w:rPr>
          <w:rFonts w:ascii="Times" w:hAnsi="Times" w:cs="Times"/>
          <w:color w:val="000000"/>
          <w:u w:val="single"/>
        </w:rPr>
        <w:t xml:space="preserve">Termenul de înlocuire al produselor: 48 ore de la notificarea achizitorului</w:t>
      </w:r>
      <w:r>
        <w:rPr>
          <w:rFonts w:ascii="Times" w:hAnsi="Times" w:cs="Times"/>
          <w:color w:val="000000"/>
          <w:sz w:val="28"/>
          <w:szCs w:val="28"/>
        </w:rPr>
        <w:t xml:space="preserve">.</w:t>
      </w:r>
      <w:r>
        <w:rPr>
          <w:bCs/>
          <w:i/>
          <w:u w:val="single"/>
        </w:rPr>
      </w:r>
      <w:r>
        <w:rPr>
          <w:bCs/>
          <w:i/>
          <w:u w:val="single"/>
        </w:rPr>
      </w:r>
    </w:p>
    <w:p>
      <w:pPr>
        <w:pBdr/>
        <w:spacing w:line="276" w:lineRule="auto"/>
        <w:ind/>
        <w:rPr>
          <w:rFonts w:ascii="Times" w:hAnsi="Times" w:cs="Times"/>
          <w:color w:val="000000" w:themeColor="text1"/>
          <w:sz w:val="28"/>
          <w:szCs w:val="28"/>
        </w:rPr>
      </w:pPr>
      <w:r>
        <w:rPr>
          <w:u w:val="single"/>
        </w:rPr>
        <w:t xml:space="preserve">Perioada de livrare a produ</w:t>
      </w:r>
      <w:r>
        <w:rPr>
          <w:color w:val="000000" w:themeColor="text1"/>
          <w:u w:val="single"/>
        </w:rPr>
        <w:t xml:space="preserve">selo</w:t>
      </w:r>
      <w:r>
        <w:rPr>
          <w:color w:val="000000" w:themeColor="text1"/>
          <w:u w:val="single"/>
        </w:rPr>
        <w:t xml:space="preserve">r  </w:t>
      </w:r>
      <w:r>
        <w:rPr>
          <w:color w:val="000000" w:themeColor="text1"/>
          <w:u w:val="single"/>
        </w:rPr>
        <w:t xml:space="preserve">20</w:t>
      </w:r>
      <w:r>
        <w:rPr>
          <w:color w:val="000000" w:themeColor="text1"/>
          <w:u w:val="single"/>
        </w:rPr>
        <w:t xml:space="preserve">.0</w:t>
      </w:r>
      <w:r>
        <w:rPr>
          <w:color w:val="000000" w:themeColor="text1"/>
          <w:u w:val="single"/>
        </w:rPr>
        <w:t xml:space="preserve">5</w:t>
      </w:r>
      <w:r>
        <w:rPr>
          <w:color w:val="000000" w:themeColor="text1"/>
          <w:u w:val="single"/>
        </w:rPr>
        <w:t xml:space="preserve">.202</w:t>
      </w:r>
      <w:r>
        <w:rPr>
          <w:color w:val="000000" w:themeColor="text1"/>
          <w:u w:val="single"/>
        </w:rPr>
        <w:t xml:space="preserve">6</w:t>
      </w:r>
      <w:r>
        <w:rPr>
          <w:color w:val="000000" w:themeColor="text1"/>
          <w:u w:val="single"/>
        </w:rPr>
        <w:t xml:space="preserve"> - </w:t>
      </w:r>
      <w:r>
        <w:rPr>
          <w:color w:val="000000" w:themeColor="text1"/>
          <w:u w:val="single"/>
        </w:rPr>
        <w:t xml:space="preserve">20</w:t>
      </w:r>
      <w:r>
        <w:rPr>
          <w:color w:val="000000" w:themeColor="text1"/>
          <w:u w:val="single"/>
        </w:rPr>
        <w:t xml:space="preserve">.</w:t>
      </w:r>
      <w:r>
        <w:rPr>
          <w:color w:val="000000" w:themeColor="text1"/>
          <w:u w:val="single"/>
        </w:rPr>
        <w:t xml:space="preserve">08</w:t>
      </w:r>
      <w:r>
        <w:rPr>
          <w:color w:val="000000" w:themeColor="text1"/>
          <w:u w:val="single"/>
        </w:rPr>
        <w:t xml:space="preserve">.202</w:t>
      </w:r>
      <w:r>
        <w:rPr>
          <w:color w:val="000000" w:themeColor="text1"/>
        </w:rPr>
        <w:t xml:space="preserve">6</w:t>
      </w:r>
      <w:r>
        <w:rPr>
          <w:rFonts w:ascii="Times" w:hAnsi="Times" w:cs="Times"/>
          <w:color w:val="000000" w:themeColor="text1"/>
          <w:sz w:val="28"/>
          <w:szCs w:val="28"/>
        </w:rPr>
      </w:r>
      <w:r>
        <w:rPr>
          <w:rFonts w:ascii="Times" w:hAnsi="Times" w:cs="Times"/>
          <w:color w:val="000000" w:themeColor="text1"/>
          <w:sz w:val="28"/>
          <w:szCs w:val="28"/>
        </w:rPr>
      </w:r>
    </w:p>
    <w:p>
      <w:pPr>
        <w:pBdr/>
        <w:spacing w:line="276" w:lineRule="auto"/>
        <w:ind w:firstLine="567"/>
        <w:rPr>
          <w:b/>
          <w:bCs/>
          <w:u w:val="single"/>
        </w:rPr>
      </w:pPr>
      <w:r>
        <w:rPr>
          <w:b/>
          <w:bCs/>
          <w:lang w:eastAsia="ru-RU"/>
        </w:rPr>
        <w:t xml:space="preserve">11</w:t>
      </w:r>
      <w:r>
        <w:rPr>
          <w:bCs/>
          <w:lang w:eastAsia="ru-RU"/>
        </w:rPr>
        <w:t xml:space="preserve">. Termenul de valabilitate a contractului</w:t>
      </w:r>
      <w:r>
        <w:rPr>
          <w:b/>
          <w:bCs/>
          <w:u w:val="single"/>
        </w:rPr>
        <w:t xml:space="preserve"> 31.12.202</w:t>
      </w:r>
      <w:r>
        <w:rPr>
          <w:b/>
          <w:bCs/>
          <w:u w:val="single"/>
        </w:rPr>
        <w:t xml:space="preserve">6</w:t>
      </w:r>
      <w:r>
        <w:rPr>
          <w:b/>
          <w:bCs/>
          <w:u w:val="single"/>
        </w:rPr>
        <w:t xml:space="preserve">.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pBdr/>
        <w:spacing w:line="276" w:lineRule="auto"/>
        <w:ind w:firstLine="567"/>
        <w:rPr>
          <w:lang w:eastAsia="ru-RU"/>
        </w:rPr>
      </w:pPr>
      <w:r>
        <w:rPr>
          <w:b/>
          <w:bCs/>
          <w:lang w:eastAsia="ru-RU"/>
        </w:rPr>
        <w:t xml:space="preserve">12</w:t>
      </w:r>
      <w:r>
        <w:rPr>
          <w:bCs/>
          <w:lang w:eastAsia="ru-RU"/>
        </w:rPr>
        <w:t xml:space="preserve">. Scurtă descriere (indicați după caz) a criteriilor de calificare: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/>
        <w:ind w:firstLine="567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tbl>
      <w:tblPr>
        <w:tblStyle w:val="1085"/>
        <w:tblW w:w="5000" w:type="pct"/>
        <w:tblBorders/>
        <w:tblLayout w:type="fixed"/>
        <w:tblLook w:val="04A0" w:firstRow="1" w:lastRow="0" w:firstColumn="1" w:lastColumn="0" w:noHBand="0" w:noVBand="1"/>
      </w:tblPr>
      <w:tblGrid>
        <w:gridCol w:w="650"/>
        <w:gridCol w:w="2584"/>
        <w:gridCol w:w="3764"/>
        <w:gridCol w:w="2018"/>
      </w:tblGrid>
      <w:tr>
        <w:trPr/>
        <w:tc>
          <w:tcPr>
            <w:tcBorders/>
            <w:tcW w:w="650" w:type="dxa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lang w:eastAsia="ru-RU"/>
              </w:rPr>
              <w:t xml:space="preserve">Nr.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</w:rPr>
            </w:pPr>
            <w:r>
              <w:rPr>
                <w:b/>
                <w:bCs/>
                <w:lang w:eastAsia="ru-RU"/>
              </w:rPr>
              <w:t xml:space="preserve">crt.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587" w:type="dxa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</w:rPr>
            </w:pPr>
            <w:r>
              <w:rPr>
                <w:b/>
                <w:bCs/>
                <w:lang w:eastAsia="ru-RU"/>
              </w:rPr>
              <w:t xml:space="preserve">Criteriile de calificare şi de selecţie (descrierea criteriului/cerinţei)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3768" w:type="dxa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</w:rPr>
            </w:pPr>
            <w:r>
              <w:rPr>
                <w:b/>
                <w:bCs/>
                <w:lang w:eastAsia="ru-RU"/>
              </w:rPr>
              <w:t xml:space="preserve">Modul de demonstrare a îndeplinirii criteriului/cerinţei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</w:rPr>
            </w:pPr>
            <w:r>
              <w:rPr>
                <w:b/>
                <w:bCs/>
                <w:lang w:eastAsia="ru-RU"/>
              </w:rPr>
              <w:t xml:space="preserve">Nivelul minim/ obligativitatea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trHeight w:val="1172"/>
        </w:trPr>
        <w:tc>
          <w:tcPr>
            <w:tcBorders/>
            <w:tcW w:w="650" w:type="dxa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</w:r>
          </w:p>
        </w:tc>
        <w:tc>
          <w:tcPr>
            <w:tcBorders/>
            <w:tcW w:w="2587" w:type="dxa"/>
            <w:textDirection w:val="lrTb"/>
            <w:noWrap w:val="false"/>
          </w:tcPr>
          <w:p>
            <w:pPr>
              <w:pStyle w:val="1086"/>
              <w:pBdr/>
              <w:spacing/>
              <w:ind w:firstLine="0" w:left="112"/>
              <w:rPr>
                <w:b/>
                <w:sz w:val="24"/>
                <w:szCs w:val="24"/>
              </w:rPr>
            </w:pPr>
            <w:r>
              <w:rPr>
                <w:b/>
                <w:spacing w:val="-1"/>
                <w:sz w:val="24"/>
                <w:szCs w:val="24"/>
              </w:rPr>
              <w:t xml:space="preserve">Declaratia</w:t>
            </w:r>
            <w:r>
              <w:rPr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sz w:val="24"/>
                <w:szCs w:val="24"/>
              </w:rPr>
              <w:t xml:space="preserve">privind</w:t>
            </w:r>
            <w:r>
              <w:rPr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sz w:val="24"/>
                <w:szCs w:val="24"/>
              </w:rPr>
              <w:t xml:space="preserve">valabilitatea</w:t>
            </w:r>
            <w:r>
              <w:rPr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ofertei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</w:tc>
        <w:tc>
          <w:tcPr>
            <w:tcBorders/>
            <w:tcW w:w="3768" w:type="dxa"/>
            <w:textDirection w:val="lrTb"/>
            <w:noWrap w:val="false"/>
          </w:tcPr>
          <w:p>
            <w:pPr>
              <w:pStyle w:val="1086"/>
              <w:pBdr/>
              <w:spacing/>
              <w:ind w:firstLine="0"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Anexei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nr.8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din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Documentatia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standart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aprobat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prin Ordinul MF nr.115 din 15.09.2021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Confirmat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prin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semnatura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electronica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1086"/>
              <w:pBdr/>
              <w:spacing/>
              <w:ind w:firstLine="0" w:left="11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86"/>
              <w:pBdr/>
              <w:spacing/>
              <w:ind w:firstLine="0"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Obligatoriu depus odată cu oferta.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Bdr/>
              <w:spacing/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rPr>
          <w:trHeight w:val="1200"/>
        </w:trPr>
        <w:tc>
          <w:tcPr>
            <w:tcBorders/>
            <w:tcW w:w="650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</w:r>
          </w:p>
        </w:tc>
        <w:tc>
          <w:tcPr>
            <w:tcBorders/>
            <w:tcW w:w="2587" w:type="dxa"/>
            <w:vMerge w:val="restart"/>
            <w:textDirection w:val="lrTb"/>
            <w:noWrap w:val="false"/>
          </w:tcPr>
          <w:p>
            <w:pPr>
              <w:pStyle w:val="1086"/>
              <w:pBdr/>
              <w:spacing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 xml:space="preserve">Specificatii</w:t>
            </w:r>
            <w:r>
              <w:rPr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sz w:val="24"/>
                <w:szCs w:val="24"/>
              </w:rPr>
              <w:t xml:space="preserve">tehnice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1086"/>
              <w:pBdr/>
              <w:spacing/>
              <w:ind w:left="112"/>
              <w:rPr>
                <w:b/>
                <w:spacing w:val="-1"/>
                <w:sz w:val="24"/>
                <w:szCs w:val="24"/>
              </w:rPr>
            </w:pPr>
            <w:r>
              <w:rPr>
                <w:b/>
                <w:spacing w:val="-1"/>
                <w:sz w:val="24"/>
                <w:szCs w:val="24"/>
              </w:rPr>
            </w:r>
            <w:r>
              <w:rPr>
                <w:b/>
                <w:spacing w:val="-1"/>
                <w:sz w:val="24"/>
                <w:szCs w:val="24"/>
              </w:rPr>
            </w:r>
            <w:r>
              <w:rPr>
                <w:b/>
                <w:spacing w:val="-1"/>
                <w:sz w:val="24"/>
                <w:szCs w:val="24"/>
              </w:rPr>
            </w:r>
          </w:p>
        </w:tc>
        <w:tc>
          <w:tcPr>
            <w:tcBorders/>
            <w:tcW w:w="3768" w:type="dxa"/>
            <w:vMerge w:val="restart"/>
            <w:textDirection w:val="lrTb"/>
            <w:noWrap w:val="false"/>
          </w:tcPr>
          <w:p>
            <w:pPr>
              <w:pStyle w:val="1086"/>
              <w:pBdr/>
              <w:spacing w:line="235" w:lineRule="auto"/>
              <w:ind w:right="163" w:firstLine="0"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Anexei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nr.22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din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Documentatia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standart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aprobat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prin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Ordinul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MF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nr.115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din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15.09.2021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86"/>
              <w:pBdr/>
              <w:spacing w:line="214" w:lineRule="exact"/>
              <w:ind w:firstLine="0"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Confirmat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prin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semnatura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electronica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020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/>
            </w:pPr>
            <w:r>
              <w:t xml:space="preserve">DA</w:t>
            </w:r>
            <w:r/>
          </w:p>
          <w:p>
            <w:pPr>
              <w:pBdr/>
              <w:spacing/>
              <w:ind w:firstLine="0"/>
              <w:jc w:val="left"/>
              <w:rPr/>
            </w:pPr>
            <w:r>
              <w:t xml:space="preserve"> </w:t>
            </w:r>
            <w:r>
              <w:t xml:space="preserve">Obligatoriu depus odată cu oferta.</w:t>
            </w:r>
            <w:r/>
          </w:p>
        </w:tc>
      </w:tr>
      <w:tr>
        <w:trPr>
          <w:trHeight w:val="1227"/>
        </w:trPr>
        <w:tc>
          <w:tcPr>
            <w:tcBorders/>
            <w:tcW w:w="650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</w:t>
            </w:r>
            <w:r>
              <w:rPr>
                <w:b/>
                <w:bCs/>
              </w:rPr>
            </w:r>
          </w:p>
        </w:tc>
        <w:tc>
          <w:tcPr>
            <w:tcBorders/>
            <w:tcW w:w="2587" w:type="dxa"/>
            <w:vMerge w:val="restart"/>
            <w:textDirection w:val="lrTb"/>
            <w:noWrap w:val="false"/>
          </w:tcPr>
          <w:p>
            <w:pPr>
              <w:pStyle w:val="1086"/>
              <w:pBdr/>
              <w:spacing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pacing w:val="-1"/>
                <w:sz w:val="24"/>
                <w:szCs w:val="24"/>
              </w:rPr>
              <w:t xml:space="preserve">Specificatii</w:t>
            </w:r>
            <w:r>
              <w:rPr>
                <w:b/>
                <w:spacing w:val="-10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de</w:t>
            </w:r>
            <w:r>
              <w:rPr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pret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1086"/>
              <w:pBdr/>
              <w:spacing/>
              <w:ind w:left="112"/>
              <w:rPr>
                <w:b/>
                <w:spacing w:val="-1"/>
                <w:sz w:val="24"/>
                <w:szCs w:val="24"/>
              </w:rPr>
            </w:pPr>
            <w:r>
              <w:rPr>
                <w:b/>
                <w:spacing w:val="-1"/>
                <w:sz w:val="24"/>
                <w:szCs w:val="24"/>
              </w:rPr>
            </w:r>
            <w:r>
              <w:rPr>
                <w:b/>
                <w:spacing w:val="-1"/>
                <w:sz w:val="24"/>
                <w:szCs w:val="24"/>
              </w:rPr>
            </w:r>
            <w:r>
              <w:rPr>
                <w:b/>
                <w:spacing w:val="-1"/>
                <w:sz w:val="24"/>
                <w:szCs w:val="24"/>
              </w:rPr>
            </w:r>
          </w:p>
        </w:tc>
        <w:tc>
          <w:tcPr>
            <w:tcBorders/>
            <w:tcW w:w="3768" w:type="dxa"/>
            <w:vMerge w:val="restart"/>
            <w:textDirection w:val="lrTb"/>
            <w:noWrap w:val="false"/>
          </w:tcPr>
          <w:p>
            <w:pPr>
              <w:pStyle w:val="1086"/>
              <w:pBdr/>
              <w:spacing/>
              <w:ind w:right="533" w:firstLine="0" w:left="11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Anexei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nr.23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din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Doc.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standart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aprobat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prin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Ordinul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MF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nr.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115 din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15.09.2021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86"/>
              <w:pBdr/>
              <w:spacing w:line="209" w:lineRule="exact"/>
              <w:ind w:firstLine="0" w:left="11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Confirmat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prin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semnatura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electr.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020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/>
            </w:pPr>
            <w:r>
              <w:t xml:space="preserve">DA </w:t>
            </w:r>
            <w:r/>
          </w:p>
          <w:p>
            <w:pPr>
              <w:pBdr/>
              <w:spacing/>
              <w:ind w:firstLine="0"/>
              <w:jc w:val="left"/>
              <w:rPr/>
            </w:pPr>
            <w:r>
              <w:t xml:space="preserve">Obligatoriu depus odată cu oferta.</w:t>
            </w:r>
            <w:r/>
          </w:p>
        </w:tc>
      </w:tr>
      <w:tr>
        <w:trPr>
          <w:trHeight w:val="1030"/>
        </w:trPr>
        <w:tc>
          <w:tcPr>
            <w:tcBorders/>
            <w:tcW w:w="650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</w:t>
            </w:r>
            <w:r>
              <w:rPr>
                <w:b/>
                <w:bCs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/>
            <w:tcW w:w="2587" w:type="dxa"/>
            <w:vMerge w:val="restart"/>
            <w:textDirection w:val="lrTb"/>
            <w:noWrap w:val="false"/>
          </w:tcPr>
          <w:p>
            <w:pPr>
              <w:pStyle w:val="1086"/>
              <w:pBdr/>
              <w:spacing/>
              <w:ind w:firstLine="0" w:left="11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Certificat</w:t>
            </w:r>
            <w:r>
              <w:rPr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de</w:t>
            </w:r>
            <w:r>
              <w:rPr>
                <w:b/>
                <w:sz w:val="24"/>
                <w:szCs w:val="24"/>
              </w:rPr>
              <w:t xml:space="preserve"> înregistrare</w:t>
            </w:r>
            <w:r>
              <w:rPr>
                <w:b/>
                <w:spacing w:val="-12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a</w:t>
            </w:r>
            <w:r>
              <w:rPr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intreprinderii,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1086"/>
              <w:pBdr/>
              <w:spacing/>
              <w:ind w:firstLine="0" w:left="11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pacing w:val="-1"/>
                <w:sz w:val="24"/>
                <w:szCs w:val="24"/>
              </w:rPr>
              <w:t xml:space="preserve">Licență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3768" w:type="dxa"/>
            <w:vMerge w:val="restart"/>
            <w:textDirection w:val="lrTb"/>
            <w:noWrap w:val="false"/>
          </w:tcPr>
          <w:p>
            <w:pPr>
              <w:pStyle w:val="1086"/>
              <w:pBdr/>
              <w:spacing/>
              <w:ind w:firstLine="0" w:left="11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Copia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emisa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de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camera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de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inregistrare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de </w:t>
            </w:r>
            <w:r>
              <w:rPr>
                <w:sz w:val="24"/>
                <w:szCs w:val="24"/>
              </w:rPr>
              <w:t xml:space="preserve">Stat,confirmata prin semnare si stampila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participantului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020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/>
            </w:pPr>
            <w:r>
              <w:t xml:space="preserve">DA </w:t>
            </w:r>
            <w:r/>
          </w:p>
          <w:p>
            <w:pPr>
              <w:pBdr/>
              <w:spacing/>
              <w:ind w:firstLine="0"/>
              <w:rPr/>
            </w:pPr>
            <w:r>
              <w:t xml:space="preserve">Obligatoriu depus odată cu oferta.</w:t>
            </w:r>
            <w:r/>
          </w:p>
        </w:tc>
      </w:tr>
      <w:tr>
        <w:trPr>
          <w:trHeight w:val="1490"/>
        </w:trPr>
        <w:tc>
          <w:tcPr>
            <w:tcBorders/>
            <w:tcW w:w="650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</w:t>
            </w:r>
            <w:r>
              <w:rPr>
                <w:b/>
                <w:bCs/>
              </w:rPr>
            </w:r>
          </w:p>
        </w:tc>
        <w:tc>
          <w:tcPr>
            <w:tcBorders/>
            <w:tcW w:w="2587" w:type="dxa"/>
            <w:vMerge w:val="restart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Demonstrarea experienței operatorului economic în domeniul de activitate aferent obiectului contractului ce urmează a fi atribuit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3768" w:type="dxa"/>
            <w:vMerge w:val="restart"/>
            <w:textDirection w:val="lrTb"/>
            <w:noWrap w:val="false"/>
          </w:tcPr>
          <w:p>
            <w:pPr>
              <w:pStyle w:val="1086"/>
              <w:pBdr/>
              <w:spacing/>
              <w:ind w:left="11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Bdr/>
              <w:spacing/>
              <w:ind w:firstLine="0"/>
              <w:jc w:val="left"/>
              <w:rPr/>
            </w:pPr>
            <w:r>
              <w:t xml:space="preserve">Original, confirmata prin aplicarea semnăturii electronice sau olograf a Paricipantului.</w:t>
            </w:r>
            <w:r/>
          </w:p>
          <w:p>
            <w:pPr>
              <w:pStyle w:val="1086"/>
              <w:pBdr/>
              <w:spacing/>
              <w:ind w:left="11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86"/>
              <w:pBdr/>
              <w:spacing/>
              <w:ind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020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/>
            </w:pPr>
            <w:r>
              <w:t xml:space="preserve">DA</w:t>
            </w:r>
            <w:r/>
          </w:p>
        </w:tc>
      </w:tr>
      <w:tr>
        <w:trPr>
          <w:trHeight w:val="1536"/>
        </w:trPr>
        <w:tc>
          <w:tcPr>
            <w:tcBorders/>
            <w:tcW w:w="650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</w:t>
            </w:r>
            <w:r>
              <w:rPr>
                <w:b/>
                <w:bCs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Bdr/>
              <w:spacing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/>
            <w:tcW w:w="2587" w:type="dxa"/>
            <w:vMerge w:val="restart"/>
            <w:textDirection w:val="lrTb"/>
            <w:noWrap w:val="false"/>
          </w:tcPr>
          <w:p>
            <w:pPr>
              <w:pStyle w:val="1086"/>
              <w:pBdr/>
              <w:spacing/>
              <w:ind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Date despre Participant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  <w:p>
            <w:pPr>
              <w:pBdr/>
              <w:spacing/>
              <w:ind w:firstLine="0"/>
              <w:jc w:val="left"/>
              <w:rPr>
                <w:b/>
                <w:bCs/>
                <w:color w:val="00000a"/>
                <w:lang w:val="en-GB" w:eastAsia="zh-CN"/>
              </w:rPr>
            </w:pPr>
            <w:r>
              <w:rPr>
                <w:b/>
                <w:color w:val="00000a"/>
                <w:lang w:val="en-GB" w:eastAsia="zh-CN"/>
              </w:rPr>
              <w:t xml:space="preserve">Termenul</w:t>
            </w:r>
            <w:r>
              <w:rPr>
                <w:b/>
                <w:color w:val="00000a"/>
                <w:lang w:val="en-GB" w:eastAsia="zh-CN"/>
              </w:rPr>
              <w:t xml:space="preserve"> </w:t>
            </w:r>
            <w:r>
              <w:rPr>
                <w:b/>
                <w:color w:val="00000a"/>
                <w:lang w:val="en-GB" w:eastAsia="zh-CN"/>
              </w:rPr>
              <w:t xml:space="preserve">livrării</w:t>
            </w:r>
            <w:r>
              <w:rPr>
                <w:b/>
                <w:color w:val="00000a"/>
                <w:lang w:val="en-GB" w:eastAsia="zh-CN"/>
              </w:rPr>
              <w:t xml:space="preserve"> </w:t>
            </w:r>
            <w:r>
              <w:rPr>
                <w:b/>
                <w:color w:val="00000a"/>
                <w:lang w:val="en-GB" w:eastAsia="zh-CN"/>
              </w:rPr>
              <w:t xml:space="preserve">bunurilor</w:t>
            </w:r>
            <w:r>
              <w:rPr>
                <w:b/>
                <w:bCs/>
                <w:color w:val="00000a"/>
                <w:lang w:val="en-GB" w:eastAsia="zh-CN"/>
              </w:rPr>
            </w:r>
            <w:r>
              <w:rPr>
                <w:b/>
                <w:bCs/>
                <w:color w:val="00000a"/>
                <w:lang w:val="en-GB" w:eastAsia="zh-CN"/>
              </w:rPr>
            </w:r>
          </w:p>
        </w:tc>
        <w:tc>
          <w:tcPr>
            <w:tcBorders/>
            <w:tcW w:w="3768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/>
            </w:pPr>
            <w:r>
              <w:t xml:space="preserve">Original, confirmata prin aplicarea semnăturii electronice sau olograf a Paricipantului.</w:t>
            </w:r>
            <w:r/>
          </w:p>
          <w:p>
            <w:pPr>
              <w:pBdr/>
              <w:spacing/>
              <w:ind w:firstLine="0"/>
              <w:rPr>
                <w:color w:val="000000"/>
                <w:lang w:val="en-GB" w:eastAsia="zh-CN"/>
              </w:rPr>
            </w:pPr>
            <w:r>
              <w:rPr>
                <w:color w:val="000000"/>
                <w:lang w:val="en-GB" w:eastAsia="zh-CN"/>
              </w:rPr>
              <w:t xml:space="preserve">Max </w:t>
            </w:r>
            <w:r>
              <w:rPr>
                <w:color w:val="000000"/>
              </w:rPr>
              <w:t xml:space="preserve">30</w:t>
            </w:r>
            <w:r>
              <w:rPr>
                <w:color w:val="000000"/>
                <w:lang w:val="en-GB" w:eastAsia="zh-CN"/>
              </w:rPr>
              <w:t xml:space="preserve"> </w:t>
            </w:r>
            <w:r>
              <w:rPr>
                <w:color w:val="000000"/>
                <w:lang w:val="en-GB" w:eastAsia="zh-CN"/>
              </w:rPr>
              <w:t xml:space="preserve">zile</w:t>
            </w:r>
            <w:r>
              <w:rPr>
                <w:color w:val="000000"/>
                <w:lang w:val="en-GB" w:eastAsia="zh-CN"/>
              </w:rPr>
              <w:t xml:space="preserve"> de la </w:t>
            </w:r>
            <w:r>
              <w:rPr>
                <w:color w:val="000000"/>
                <w:lang w:val="en-GB" w:eastAsia="zh-CN"/>
              </w:rPr>
              <w:t xml:space="preserve">semnarea</w:t>
            </w:r>
            <w:r>
              <w:rPr>
                <w:color w:val="000000"/>
                <w:lang w:val="en-GB" w:eastAsia="zh-CN"/>
              </w:rPr>
            </w:r>
            <w:r>
              <w:rPr>
                <w:color w:val="000000"/>
                <w:lang w:val="en-GB" w:eastAsia="zh-CN"/>
              </w:rPr>
            </w:r>
          </w:p>
          <w:p>
            <w:pPr>
              <w:pBdr/>
              <w:spacing/>
              <w:ind w:firstLine="0"/>
              <w:rPr>
                <w:color w:val="000000"/>
              </w:rPr>
            </w:pPr>
            <w:r>
              <w:rPr>
                <w:color w:val="000000"/>
                <w:lang w:val="en-GB" w:eastAsia="zh-CN"/>
              </w:rPr>
              <w:t xml:space="preserve"> </w:t>
            </w:r>
            <w:r>
              <w:rPr>
                <w:color w:val="000000"/>
                <w:lang w:val="en-GB" w:eastAsia="zh-CN"/>
              </w:rPr>
              <w:t xml:space="preserve">contractului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020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/>
            </w:pPr>
            <w:r>
              <w:t xml:space="preserve">DA </w:t>
            </w:r>
            <w:r/>
          </w:p>
          <w:p>
            <w:pPr>
              <w:pBdr/>
              <w:spacing/>
              <w:ind w:firstLine="0"/>
              <w:rPr/>
            </w:pPr>
            <w:r>
              <w:t xml:space="preserve">Obligatoriu depus odată cu oferta.</w:t>
            </w:r>
            <w:r/>
          </w:p>
        </w:tc>
      </w:tr>
    </w:tbl>
    <w:p>
      <w:pPr>
        <w:pBdr/>
        <w:spacing/>
        <w:ind/>
        <w:rPr/>
      </w:pPr>
      <w:r/>
      <w:r/>
    </w:p>
    <w:p>
      <w:pPr>
        <w:pBdr/>
        <w:spacing w:line="276" w:lineRule="auto"/>
        <w:ind/>
        <w:rPr>
          <w:bCs/>
          <w:lang w:eastAsia="ru-RU"/>
        </w:rPr>
      </w:pPr>
      <w:r>
        <w:rPr>
          <w:b/>
          <w:bCs/>
          <w:lang w:eastAsia="ru-RU"/>
        </w:rPr>
        <w:t xml:space="preserve">13</w:t>
      </w:r>
      <w:r>
        <w:rPr>
          <w:bCs/>
          <w:lang w:eastAsia="ru-RU"/>
        </w:rPr>
        <w:t xml:space="preserve">. Tehnici şi instrumente specifice de atribuire (după caz, specificaţi dacă se va utiliza licitaţia electronică)</w:t>
      </w:r>
      <w:r>
        <w:rPr>
          <w:lang w:eastAsia="ru-RU"/>
        </w:rPr>
        <w:t xml:space="preserve">___</w:t>
      </w:r>
      <w:r>
        <w:rPr>
          <w:u w:val="single"/>
        </w:rPr>
        <w:t xml:space="preserve">Nu s-a aplicat. </w:t>
      </w:r>
      <w:r>
        <w:rPr>
          <w:bCs/>
          <w:lang w:eastAsia="ru-RU"/>
        </w:rPr>
      </w:r>
      <w:r>
        <w:rPr>
          <w:bCs/>
          <w:lang w:eastAsia="ru-RU"/>
        </w:rPr>
      </w:r>
    </w:p>
    <w:p>
      <w:pPr>
        <w:pBdr/>
        <w:spacing w:line="276" w:lineRule="auto"/>
        <w:ind/>
        <w:rPr>
          <w:lang w:eastAsia="ru-RU"/>
        </w:rPr>
      </w:pPr>
      <w:r>
        <w:rPr>
          <w:b/>
          <w:bCs/>
          <w:lang w:eastAsia="ru-RU"/>
        </w:rPr>
        <w:t xml:space="preserve">14.</w:t>
      </w:r>
      <w:r>
        <w:rPr>
          <w:bCs/>
          <w:lang w:eastAsia="ru-RU"/>
        </w:rPr>
        <w:t xml:space="preserve"> Condiţii speciale de care depinde îndeplinirea contractului (indicaţi după caz)</w:t>
      </w:r>
      <w:r>
        <w:rPr>
          <w:lang w:eastAsia="ru-RU"/>
        </w:rPr>
        <w:t xml:space="preserve">_</w:t>
      </w:r>
      <w:r>
        <w:rPr>
          <w:u w:val="single"/>
        </w:rPr>
        <w:t xml:space="preserve">Nu s-a aplicat. </w:t>
      </w:r>
      <w:r>
        <w:rPr>
          <w:lang w:eastAsia="ru-RU"/>
        </w:rPr>
        <w:t xml:space="preserve">__________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/>
        <w:rPr>
          <w:lang w:eastAsia="ru-RU"/>
        </w:rPr>
      </w:pPr>
      <w:r>
        <w:rPr>
          <w:b/>
          <w:bCs/>
          <w:lang w:eastAsia="ru-RU"/>
        </w:rPr>
        <w:t xml:space="preserve">15.</w:t>
      </w:r>
      <w:r>
        <w:rPr>
          <w:bCs/>
          <w:lang w:eastAsia="ru-RU"/>
        </w:rPr>
        <w:t xml:space="preserve"> Ofertele se prezintă în valută</w:t>
      </w:r>
      <w:r>
        <w:rPr>
          <w:lang w:eastAsia="ru-RU"/>
        </w:rPr>
        <w:t xml:space="preserve">___</w:t>
      </w:r>
      <w:r>
        <w:rPr>
          <w:b/>
          <w:bCs/>
          <w:u w:val="single"/>
        </w:rPr>
        <w:t xml:space="preserve">Lei MD</w:t>
      </w:r>
      <w:r>
        <w:rPr>
          <w:b/>
          <w:bCs/>
          <w:u w:val="single"/>
          <w:lang w:eastAsia="ru-RU"/>
        </w:rPr>
        <w:t xml:space="preserve">_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/>
        <w:rPr>
          <w:lang w:eastAsia="ru-RU"/>
        </w:rPr>
      </w:pPr>
      <w:r>
        <w:rPr>
          <w:b/>
          <w:bCs/>
          <w:lang w:eastAsia="ru-RU"/>
        </w:rPr>
        <w:t xml:space="preserve">16</w:t>
      </w:r>
      <w:r>
        <w:rPr>
          <w:bCs/>
          <w:lang w:eastAsia="ru-RU"/>
        </w:rPr>
        <w:t xml:space="preserve">. Criteriul de evaluare aplicat pentru atribuirea contractului</w:t>
      </w:r>
      <w:r>
        <w:rPr>
          <w:bCs/>
        </w:rPr>
        <w:t xml:space="preserve">: </w:t>
      </w:r>
      <w:r>
        <w:rPr>
          <w:i/>
          <w:iCs/>
          <w:color w:val="000000"/>
          <w:u w:val="single"/>
        </w:rPr>
        <w:t xml:space="preserve">cel mai mic preț pe lot conform cerințelor solicitate.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/>
        <w:rPr>
          <w:lang w:eastAsia="ru-RU"/>
        </w:rPr>
      </w:pPr>
      <w:r>
        <w:rPr>
          <w:b/>
          <w:bCs/>
          <w:lang w:eastAsia="ru-RU"/>
        </w:rPr>
        <w:t xml:space="preserve">17.</w:t>
      </w:r>
      <w:r>
        <w:rPr>
          <w:bCs/>
          <w:lang w:eastAsia="ru-RU"/>
        </w:rPr>
        <w:t xml:space="preserve"> Factorii de evaluare a celei mai avantajoase oferte din punct de vedere economic, precum şi ponderile lor:</w:t>
      </w:r>
      <w:r>
        <w:rPr>
          <w:lang w:eastAsia="ru-RU"/>
        </w:rPr>
      </w:r>
      <w:r>
        <w:rPr>
          <w:lang w:eastAsia="ru-RU"/>
        </w:rPr>
      </w:r>
    </w:p>
    <w:tbl>
      <w:tblPr>
        <w:tblStyle w:val="1085"/>
        <w:tblW w:w="3790" w:type="pct"/>
        <w:tblInd w:w="1271" w:type="dxa"/>
        <w:tblBorders/>
        <w:tblLook w:val="04A0" w:firstRow="1" w:lastRow="0" w:firstColumn="1" w:lastColumn="0" w:noHBand="0" w:noVBand="1"/>
      </w:tblPr>
      <w:tblGrid>
        <w:gridCol w:w="822"/>
        <w:gridCol w:w="4502"/>
        <w:gridCol w:w="1510"/>
      </w:tblGrid>
      <w:tr>
        <w:trPr/>
        <w:tc>
          <w:tcPr>
            <w:tcBorders/>
            <w:tcW w:w="601" w:type="pct"/>
            <w:textDirection w:val="lrTb"/>
            <w:noWrap w:val="false"/>
          </w:tcPr>
          <w:p>
            <w:pPr>
              <w:pBdr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Nr. crt.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/>
            <w:tcW w:w="3294" w:type="pct"/>
            <w:textDirection w:val="lrTb"/>
            <w:noWrap w:val="false"/>
          </w:tcPr>
          <w:p>
            <w:pPr>
              <w:pBdr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Denumirea factorului de evaluare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/>
            <w:tcW w:w="1105" w:type="pct"/>
            <w:textDirection w:val="lrTb"/>
            <w:noWrap w:val="false"/>
          </w:tcPr>
          <w:p>
            <w:pPr>
              <w:pBdr/>
              <w:spacing w:line="276" w:lineRule="auto"/>
              <w:ind w:firstLine="0"/>
              <w:jc w:val="center"/>
              <w:rPr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Ponderea, %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rPr/>
        <w:tc>
          <w:tcPr>
            <w:tcBorders/>
            <w:tcW w:w="601" w:type="pct"/>
            <w:textDirection w:val="lrTb"/>
            <w:noWrap w:val="false"/>
          </w:tcPr>
          <w:p>
            <w:pPr>
              <w:pBdr/>
              <w:spacing w:line="276" w:lineRule="auto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1.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/>
            <w:tcW w:w="3294" w:type="pct"/>
            <w:textDirection w:val="lrTb"/>
            <w:noWrap w:val="false"/>
          </w:tcPr>
          <w:p>
            <w:pPr>
              <w:pBdr/>
              <w:spacing w:line="276" w:lineRule="auto"/>
              <w:ind w:firstLine="0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/>
            <w:tcW w:w="1105" w:type="pct"/>
            <w:textDirection w:val="lrTb"/>
            <w:noWrap w:val="false"/>
          </w:tcPr>
          <w:p>
            <w:pPr>
              <w:pBdr/>
              <w:spacing w:line="276" w:lineRule="auto"/>
              <w:ind w:firstLine="0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</w:tbl>
    <w:p>
      <w:pPr>
        <w:pBdr/>
        <w:tabs>
          <w:tab w:val="left" w:leader="none" w:pos="6386"/>
        </w:tabs>
        <w:spacing w:line="276" w:lineRule="auto"/>
        <w:ind/>
        <w:rPr>
          <w:rFonts w:asciiTheme="majorBidi" w:hAnsiTheme="majorBidi" w:cstheme="majorBidi"/>
          <w:lang w:eastAsia="ru-RU"/>
        </w:rPr>
      </w:pPr>
      <w:r>
        <w:rPr>
          <w:rFonts w:asciiTheme="majorBidi" w:hAnsiTheme="majorBidi" w:cstheme="majorBidi"/>
          <w:lang w:eastAsia="ru-RU"/>
        </w:rPr>
      </w:r>
      <w:r>
        <w:rPr>
          <w:rFonts w:asciiTheme="majorBidi" w:hAnsiTheme="majorBidi" w:cstheme="majorBidi"/>
          <w:lang w:eastAsia="ru-RU"/>
        </w:rPr>
      </w:r>
      <w:r>
        <w:rPr>
          <w:rFonts w:asciiTheme="majorBidi" w:hAnsiTheme="majorBidi" w:cstheme="majorBidi"/>
          <w:lang w:eastAsia="ru-RU"/>
        </w:rPr>
      </w:r>
    </w:p>
    <w:p>
      <w:pPr>
        <w:pBdr/>
        <w:spacing w:line="276" w:lineRule="auto"/>
        <w:ind/>
        <w:rPr>
          <w:lang w:eastAsia="ru-RU"/>
        </w:rPr>
      </w:pPr>
      <w:r>
        <w:rPr>
          <w:b/>
          <w:bCs/>
          <w:lang w:eastAsia="ru-RU"/>
        </w:rPr>
        <w:t xml:space="preserve">18</w:t>
      </w:r>
      <w:r>
        <w:rPr>
          <w:bCs/>
          <w:lang w:eastAsia="ru-RU"/>
        </w:rPr>
        <w:t xml:space="preserve">. Termenul</w:t>
      </w:r>
      <w:r>
        <w:rPr>
          <w:bCs/>
          <w:lang w:eastAsia="ru-RU"/>
        </w:rPr>
        <w:noBreakHyphen/>
      </w:r>
      <w:r>
        <w:rPr>
          <w:bCs/>
          <w:lang w:eastAsia="ru-RU"/>
        </w:rPr>
        <w:t xml:space="preserve">limită de depunere/deschidere a ofertelor: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left" w:leader="none" w:pos="567"/>
          <w:tab w:val="left" w:leader="none" w:pos="709"/>
        </w:tabs>
        <w:spacing w:line="276" w:lineRule="auto"/>
        <w:ind/>
        <w:rPr>
          <w:lang w:eastAsia="ru-RU"/>
        </w:rPr>
      </w:pPr>
      <w:r>
        <w:rPr>
          <w:lang w:eastAsia="ru-RU"/>
        </w:rPr>
        <w:noBreakHyphen/>
        <w:t xml:space="preserve"> </w:t>
      </w:r>
      <w:r>
        <w:rPr>
          <w:bCs/>
          <w:lang w:eastAsia="ru-RU"/>
        </w:rPr>
        <w:t xml:space="preserve">conform SIA ,,RSAP”/până la: </w:t>
      </w:r>
      <w:r>
        <w:rPr>
          <w:bCs/>
          <w:i/>
          <w:iCs/>
          <w:lang w:eastAsia="ru-RU"/>
        </w:rPr>
        <w:t xml:space="preserve">(ora exactă)</w:t>
      </w:r>
      <w:r>
        <w:rPr>
          <w:lang w:eastAsia="ru-RU"/>
        </w:rPr>
        <w:t xml:space="preserve">___</w:t>
      </w:r>
      <w:r>
        <w:rPr>
          <w:b/>
          <w:bCs/>
          <w:u w:val="single"/>
          <w:lang w:val="en-GB"/>
        </w:rPr>
        <w:t xml:space="preserve">Informația</w:t>
      </w:r>
      <w:r>
        <w:rPr>
          <w:b/>
          <w:bCs/>
          <w:u w:val="single"/>
          <w:lang w:val="en-GB"/>
        </w:rPr>
        <w:t xml:space="preserve"> o </w:t>
      </w:r>
      <w:r>
        <w:rPr>
          <w:b/>
          <w:bCs/>
          <w:u w:val="single"/>
          <w:lang w:val="en-GB"/>
        </w:rPr>
        <w:t xml:space="preserve">găsiți</w:t>
      </w:r>
      <w:r>
        <w:rPr>
          <w:b/>
          <w:bCs/>
          <w:u w:val="single"/>
          <w:lang w:val="en-GB"/>
        </w:rPr>
        <w:t xml:space="preserve"> pe SIA RSAP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left" w:leader="none" w:pos="567"/>
          <w:tab w:val="left" w:leader="none" w:pos="709"/>
        </w:tabs>
        <w:spacing w:line="276" w:lineRule="auto"/>
        <w:ind/>
        <w:rPr>
          <w:lang w:eastAsia="ru-RU"/>
        </w:rPr>
      </w:pPr>
      <w:r>
        <w:rPr>
          <w:lang w:eastAsia="ru-RU"/>
        </w:rPr>
        <w:noBreakHyphen/>
        <w:t xml:space="preserve"> </w:t>
      </w:r>
      <w:r>
        <w:rPr>
          <w:bCs/>
          <w:lang w:eastAsia="ru-RU"/>
        </w:rPr>
        <w:t xml:space="preserve">pe: </w:t>
      </w:r>
      <w:r>
        <w:rPr>
          <w:bCs/>
          <w:i/>
          <w:iCs/>
          <w:lang w:eastAsia="ru-RU"/>
        </w:rPr>
        <w:t xml:space="preserve">(data)</w:t>
      </w:r>
      <w:r>
        <w:rPr>
          <w:lang w:eastAsia="ru-RU"/>
        </w:rPr>
        <w:t xml:space="preserve">__</w:t>
      </w:r>
      <w:r>
        <w:rPr>
          <w:b/>
          <w:bCs/>
          <w:u w:val="single"/>
          <w:lang w:val="en-GB"/>
        </w:rPr>
        <w:t xml:space="preserve">Informația</w:t>
      </w:r>
      <w:r>
        <w:rPr>
          <w:b/>
          <w:bCs/>
          <w:u w:val="single"/>
          <w:lang w:val="en-GB"/>
        </w:rPr>
        <w:t xml:space="preserve"> o </w:t>
      </w:r>
      <w:r>
        <w:rPr>
          <w:b/>
          <w:bCs/>
          <w:u w:val="single"/>
          <w:lang w:val="en-GB"/>
        </w:rPr>
        <w:t xml:space="preserve">găsiți</w:t>
      </w:r>
      <w:r>
        <w:rPr>
          <w:b/>
          <w:bCs/>
          <w:u w:val="single"/>
          <w:lang w:val="en-GB"/>
        </w:rPr>
        <w:t xml:space="preserve"> pe SIA RSAP</w:t>
      </w:r>
      <w:r>
        <w:rPr>
          <w:lang w:eastAsia="ru-RU"/>
        </w:rPr>
        <w:t xml:space="preserve">_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/>
        <w:rPr>
          <w:b/>
          <w:bCs/>
          <w:color w:val="000000" w:themeColor="text1"/>
        </w:rPr>
      </w:pPr>
      <w:r>
        <w:rPr>
          <w:b/>
          <w:bCs/>
          <w:lang w:eastAsia="ru-RU"/>
        </w:rPr>
        <w:t xml:space="preserve">19.</w:t>
      </w:r>
      <w:r>
        <w:rPr>
          <w:bCs/>
          <w:lang w:eastAsia="ru-RU"/>
        </w:rPr>
        <w:t xml:space="preserve"> Adresa la care trebuie transmise ofertele sau cererile de participare</w:t>
      </w:r>
      <w:r>
        <w:rPr>
          <w:bCs/>
        </w:rPr>
        <w:t xml:space="preserve"> </w:t>
      </w:r>
      <w:r>
        <w:rPr>
          <w:b/>
          <w:bCs/>
          <w:i/>
          <w:iCs/>
          <w:color w:val="000000" w:themeColor="text1"/>
          <w:lang w:eastAsia="ru-RU"/>
        </w:rPr>
        <w:t xml:space="preserve">Ofertele sau cererile de participare vor fi depuse electronic prin intermediul SIA ,,RSAP”.</w:t>
      </w:r>
      <w:r>
        <w:rPr>
          <w:b/>
          <w:bCs/>
          <w:color w:val="000000" w:themeColor="text1"/>
        </w:rPr>
      </w:r>
      <w:r>
        <w:rPr>
          <w:b/>
          <w:bCs/>
          <w:color w:val="000000" w:themeColor="text1"/>
        </w:rPr>
      </w:r>
    </w:p>
    <w:p>
      <w:pPr>
        <w:pBdr/>
        <w:spacing w:line="276" w:lineRule="auto"/>
        <w:ind/>
        <w:rPr>
          <w:lang w:eastAsia="ru-RU"/>
        </w:rPr>
      </w:pPr>
      <w:r>
        <w:rPr>
          <w:b/>
          <w:bCs/>
          <w:lang w:eastAsia="ru-RU"/>
        </w:rPr>
        <w:t xml:space="preserve">20.</w:t>
      </w:r>
      <w:r>
        <w:rPr>
          <w:bCs/>
          <w:lang w:eastAsia="ru-RU"/>
        </w:rPr>
        <w:t xml:space="preserve"> Termenul de valabilitate a ofertelor</w:t>
      </w:r>
      <w:r>
        <w:t xml:space="preserve"> :</w:t>
      </w:r>
      <w:r>
        <w:rPr>
          <w:b/>
          <w:bCs/>
        </w:rPr>
        <w:t xml:space="preserve">60  de zile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/>
        <w:rPr>
          <w:lang w:eastAsia="ru-RU"/>
        </w:rPr>
      </w:pPr>
      <w:r>
        <w:rPr>
          <w:b/>
          <w:bCs/>
          <w:lang w:eastAsia="ru-RU"/>
        </w:rPr>
        <w:t xml:space="preserve">21</w:t>
      </w:r>
      <w:r>
        <w:rPr>
          <w:bCs/>
          <w:lang w:eastAsia="ru-RU"/>
        </w:rPr>
        <w:t xml:space="preserve">. Locul deschiderii ofertelor</w:t>
      </w:r>
      <w:r>
        <w:rPr>
          <w:bCs/>
        </w:rPr>
        <w:t xml:space="preserve">:</w:t>
      </w:r>
      <w:r>
        <w:rPr>
          <w:color w:val="000000"/>
          <w:u w:val="single"/>
        </w:rPr>
        <w:t xml:space="preserve"> </w:t>
      </w:r>
      <w:r>
        <w:rPr>
          <w:b/>
          <w:bCs/>
          <w:color w:val="000000"/>
          <w:u w:val="single"/>
        </w:rPr>
        <w:t xml:space="preserve">SIA RSAP.</w:t>
      </w:r>
      <w:r>
        <w:rPr>
          <w:b/>
          <w:bCs/>
          <w:i/>
          <w:color w:val="000000"/>
          <w:lang w:val="en-GB"/>
        </w:rPr>
        <w:t xml:space="preserve"> </w:t>
      </w:r>
      <w:r>
        <w:rPr>
          <w:b/>
          <w:i/>
          <w:color w:val="000000"/>
        </w:rPr>
        <w:t xml:space="preserve"> </w:t>
      </w:r>
      <w:r>
        <w:rPr>
          <w:i/>
          <w:iCs/>
          <w:color w:val="000000"/>
        </w:rPr>
        <w:t xml:space="preserve">Ofertele întârziate vor fi respinse.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 w:line="276" w:lineRule="auto"/>
        <w:ind/>
        <w:rPr/>
      </w:pPr>
      <w:r>
        <w:rPr>
          <w:b/>
          <w:bCs/>
          <w:lang w:eastAsia="ru-RU"/>
        </w:rPr>
        <w:t xml:space="preserve">22</w:t>
      </w:r>
      <w:r>
        <w:rPr>
          <w:bCs/>
          <w:lang w:eastAsia="ru-RU"/>
        </w:rPr>
        <w:t xml:space="preserve">. Limba sau limbile în care trebuie redactate ofertele sau cererile de participare</w:t>
      </w:r>
      <w:r/>
    </w:p>
    <w:p>
      <w:pPr>
        <w:pBdr/>
        <w:spacing w:line="276" w:lineRule="auto"/>
        <w:ind/>
        <w:rPr>
          <w:b/>
          <w:bCs/>
          <w:u w:val="single"/>
        </w:rPr>
      </w:pPr>
      <w:r>
        <w:rPr>
          <w:b/>
          <w:bCs/>
          <w:u w:val="single"/>
        </w:rPr>
        <w:t xml:space="preserve">limba română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pBdr/>
        <w:spacing w:line="276" w:lineRule="auto"/>
        <w:ind/>
        <w:rPr>
          <w:lang w:eastAsia="ru-RU"/>
        </w:rPr>
      </w:pPr>
      <w:r>
        <w:rPr>
          <w:b/>
          <w:bCs/>
          <w:lang w:eastAsia="ru-RU"/>
        </w:rPr>
        <w:t xml:space="preserve">23.</w:t>
      </w:r>
      <w:r>
        <w:rPr>
          <w:bCs/>
          <w:lang w:eastAsia="ru-RU"/>
        </w:rPr>
        <w:t xml:space="preserve"> Alte informaţii relevante</w:t>
      </w:r>
      <w:r>
        <w:rPr>
          <w:lang w:eastAsia="ru-RU"/>
        </w:rPr>
        <w:t xml:space="preserve">__________________________________________________</w:t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/>
        <w:ind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/>
        <w:ind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pBdr/>
        <w:spacing/>
        <w:ind/>
        <w:rPr>
          <w:lang w:eastAsia="ru-RU"/>
        </w:rPr>
      </w:pPr>
      <w:r>
        <w:rPr>
          <w:b/>
          <w:bCs/>
          <w:lang w:eastAsia="ru-RU"/>
        </w:rPr>
        <w:t xml:space="preserve">Conducătorul grupului de lucru</w:t>
      </w:r>
      <w:r>
        <w:rPr>
          <w:b/>
          <w:bCs/>
        </w:rPr>
        <w:t xml:space="preserve">                                    </w:t>
      </w:r>
      <w:r>
        <w:rPr>
          <w:b/>
          <w:bCs/>
        </w:rPr>
        <w:t xml:space="preserve">Angela </w:t>
      </w:r>
      <w:r>
        <w:rPr>
          <w:b/>
          <w:bCs/>
        </w:rPr>
        <w:t xml:space="preserve">Cazac </w:t>
      </w:r>
      <w:r>
        <w:rPr>
          <w:lang w:eastAsia="ru-RU"/>
        </w:rPr>
        <w:t xml:space="preserve">_______________</w:t>
      </w:r>
      <w:r>
        <w:rPr>
          <w:lang w:eastAsia="ru-RU"/>
        </w:rPr>
      </w:r>
      <w:r>
        <w:rPr>
          <w:lang w:eastAsia="ru-RU"/>
        </w:rPr>
      </w:r>
    </w:p>
    <w:p>
      <w:pPr>
        <w:pBdr/>
        <w:tabs>
          <w:tab w:val="decimal" w:leader="none" w:pos="8364"/>
        </w:tabs>
        <w:spacing w:line="276" w:lineRule="auto"/>
        <w:ind w:right="-144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Bdr/>
        <w:tabs>
          <w:tab w:val="decimal" w:leader="none" w:pos="8364"/>
        </w:tabs>
        <w:spacing w:line="276" w:lineRule="auto"/>
        <w:ind w:right="-144"/>
        <w:jc w:val="center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sectPr>
      <w:footerReference w:type="default" r:id="rId9"/>
      <w:footnotePr/>
      <w:endnotePr/>
      <w:type w:val="nextPage"/>
      <w:pgSz w:h="16838" w:orient="portrait" w:w="11906"/>
      <w:pgMar w:top="709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50405020304"/>
  </w:font>
  <w:font w:name="Wingdings">
    <w:panose1 w:val="05000000000000000000"/>
  </w:font>
  <w:font w:name="Symbol">
    <w:panose1 w:val="05050102010706020507"/>
  </w:font>
  <w:font w:name="Pragma_MonitorOficial">
    <w:panose1 w:val="020B0603030804020204"/>
  </w:font>
  <w:font w:name="Courier New">
    <w:panose1 w:val="02070309020205020404"/>
  </w:font>
  <w:font w:name="EUAlbertina">
    <w:panose1 w:val="020B0603030804020204"/>
  </w:font>
  <w:font w:name="&amp;quot;Times New Roman&amp;quot;">
    <w:panose1 w:val="020B0603030804020204"/>
  </w:font>
  <w:font w:name="Calibri Light">
    <w:panose1 w:val="020F0302020204030204"/>
  </w:font>
  <w:font w:name="PMingLiU">
    <w:panose1 w:val="02020500000000000000"/>
  </w:font>
  <w:font w:name="Tms Rmn">
    <w:panose1 w:val="020B0603030804020204"/>
  </w:font>
  <w:font w:name="Tahoma">
    <w:panose1 w:val="020B0604030504040204"/>
  </w:font>
  <w:font w:name="Cambria">
    <w:panose1 w:val="02040503050406030204"/>
  </w:font>
  <w:font w:name="Calibri">
    <w:panose1 w:val="020F0502020204030204"/>
  </w:font>
  <w:font w:name="Baltica RR">
    <w:panose1 w:val="020B0603030804020204"/>
  </w:font>
  <w:font w:name="Consolas">
    <w:panose1 w:val="020B0609020204030204"/>
  </w:font>
  <w:font w:name="Times New Roman">
    <w:panose1 w:val="02020603050405020304"/>
  </w:font>
  <w:font w:name="Arial">
    <w:panose1 w:val="020B0604020202020204"/>
  </w:font>
  <w:font w:name="SimSun">
    <w:panose1 w:val="020106000301010101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9436328"/>
      <w:docPartObj>
        <w:docPartGallery w:val="Page Numbers (Bottom of Page)"/>
        <w:docPartUnique w:val="true"/>
      </w:docPartObj>
      <w:rPr/>
    </w:sdtPr>
    <w:sdtContent>
      <w:p>
        <w:pPr>
          <w:pStyle w:val="1002"/>
          <w:pBdr/>
          <w:spacing/>
          <w:ind/>
          <w:jc w:val="right"/>
          <w:rPr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 xml:space="preserve">2</w:t>
        </w:r>
        <w:r>
          <w:t xml:space="preserve">1</w:t>
        </w:r>
        <w:r>
          <w:fldChar w:fldCharType="end"/>
        </w:r>
        <w:r/>
      </w:p>
    </w:sdtContent>
  </w:sdt>
  <w:p>
    <w:pPr>
      <w:pStyle w:val="100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upperRoman"/>
      <w:pPr>
        <w:pBdr/>
        <w:spacing/>
        <w:ind w:hanging="72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7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99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1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3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5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7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59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16"/>
      </w:pPr>
      <w:rPr/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720" w:left="720"/>
      </w:pPr>
      <w:rPr>
        <w:rFonts w:hint="default"/>
        <w:b/>
        <w:color w:val="000000" w:themeColor="text1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tabs>
          <w:tab w:val="num" w:leader="none" w:pos="1069"/>
        </w:tabs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9"/>
        </w:tabs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9"/>
        </w:tabs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9"/>
        </w:tabs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9"/>
        </w:tabs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9"/>
        </w:tabs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9"/>
        </w:tabs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9"/>
        </w:tabs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9"/>
        </w:tabs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1069"/>
        </w:tabs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9"/>
        </w:tabs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9"/>
        </w:tabs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9"/>
        </w:tabs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9"/>
        </w:tabs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9"/>
        </w:tabs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9"/>
        </w:tabs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9"/>
        </w:tabs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9"/>
        </w:tabs>
        <w:spacing/>
        <w:ind w:hanging="180" w:left="6829"/>
      </w:pPr>
      <w:rPr>
        <w:rFonts w:cs="Times New Roman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13">
    <w:lvl w:ilvl="0">
      <w:isLgl w:val="false"/>
      <w:lvlJc w:val="left"/>
      <w:lvlText w:val="–"/>
      <w:numFmt w:val="bullet"/>
      <w:pPr>
        <w:pBdr/>
        <w:spacing/>
        <w:ind w:hanging="360" w:left="1276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96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716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3436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56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876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596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16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7036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upperRoman"/>
      <w:pPr>
        <w:pBdr/>
        <w:spacing/>
        <w:ind w:hanging="720" w:left="1080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spacing/>
        <w:ind w:hanging="360" w:left="1211"/>
      </w:pPr>
      <w:rPr>
        <w:rFonts w:hint="default" w:ascii="Times New Roman" w:hAnsi="Times New Roman" w:eastAsia="SimSun"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2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44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16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88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0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2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04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767"/>
      </w:pPr>
      <w:rPr>
        <w:rFonts w:cs="Times New Roman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tabs>
          <w:tab w:val="num" w:leader="none" w:pos="660"/>
        </w:tabs>
        <w:spacing/>
        <w:ind w:hanging="360" w:left="660"/>
      </w:pPr>
      <w:rPr>
        <w:rFonts w:hint="default"/>
      </w:rPr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380"/>
        </w:tabs>
        <w:spacing/>
        <w:ind w:hanging="360" w:left="13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00"/>
        </w:tabs>
        <w:spacing/>
        <w:ind w:hanging="180" w:left="21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20"/>
        </w:tabs>
        <w:spacing/>
        <w:ind w:hanging="360" w:left="28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540"/>
        </w:tabs>
        <w:spacing/>
        <w:ind w:hanging="360" w:left="35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260"/>
        </w:tabs>
        <w:spacing/>
        <w:ind w:hanging="180" w:left="42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4980"/>
        </w:tabs>
        <w:spacing/>
        <w:ind w:hanging="360" w:left="49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00"/>
        </w:tabs>
        <w:spacing/>
        <w:ind w:hanging="360" w:left="57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20"/>
        </w:tabs>
        <w:spacing/>
        <w:ind w:hanging="180" w:left="6420"/>
      </w:pPr>
      <w:rPr/>
      <w:start w:val="1"/>
      <w:suff w:val="tab"/>
    </w:lvl>
  </w:abstractNum>
  <w:abstractNum w:abstractNumId="1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1070"/>
      </w:pPr>
      <w:rPr>
        <w:rFonts w:hint="default"/>
      </w:rPr>
      <w:start w:val="11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9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1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3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5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7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9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1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3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86"/>
      </w:pPr>
      <w:rPr>
        <w:rFonts w:hint="default" w:eastAsiaTheme="majorEastAsia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6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2">
    <w:lvl w:ilvl="0">
      <w:isLgl w:val="false"/>
      <w:lvlJc w:val="left"/>
      <w:lvlText w:val="%1"/>
      <w:numFmt w:val="decimal"/>
      <w:pPr>
        <w:pBdr/>
        <w:spacing/>
        <w:ind w:hanging="360" w:left="360"/>
      </w:pPr>
      <w:rPr>
        <w:rFonts w:hint="default"/>
      </w:rPr>
      <w:start w:val="3"/>
      <w:suff w:val="tab"/>
    </w:lvl>
    <w:lvl w:ilvl="1">
      <w:isLgl w:val="false"/>
      <w:lvlJc w:val="left"/>
      <w:lvlText w:val="%1.%2"/>
      <w:numFmt w:val="decimal"/>
      <w:pPr>
        <w:pBdr/>
        <w:spacing/>
        <w:ind w:hanging="360" w:left="397"/>
      </w:pPr>
      <w:rPr>
        <w:rFonts w:hint="default"/>
      </w:rPr>
      <w:start w:val="3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794"/>
      </w:pPr>
      <w:rPr>
        <w:rFonts w:hint="default"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831"/>
      </w:pPr>
      <w:rPr>
        <w:rFonts w:hint="default"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1228"/>
      </w:pPr>
      <w:rPr>
        <w:rFonts w:hint="default"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080" w:left="1265"/>
      </w:pPr>
      <w:rPr>
        <w:rFonts w:hint="default"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1662"/>
      </w:pPr>
      <w:rPr>
        <w:rFonts w:hint="default"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440" w:left="1699"/>
      </w:pPr>
      <w:rPr>
        <w:rFonts w:hint="default"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2096"/>
      </w:pPr>
      <w:rPr>
        <w:rFonts w:hint="default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10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26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755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upperRoman"/>
      <w:pPr>
        <w:pBdr/>
        <w:spacing/>
        <w:ind w:hanging="720" w:left="3240"/>
      </w:pPr>
      <w:rPr>
        <w:rFonts w:hint="default"/>
        <w:b/>
        <w:i w:val="0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7">
    <w:lvl w:ilvl="0">
      <w:isLgl w:val="false"/>
      <w:lvlJc w:val="left"/>
      <w:lvlText w:val="%1)"/>
      <w:numFmt w:val="lowerLetter"/>
      <w:pPr>
        <w:pBdr/>
        <w:spacing/>
        <w:ind w:hanging="360" w:left="786"/>
      </w:pPr>
      <w:rPr>
        <w:rFonts w:hint="default" w:eastAsiaTheme="majorEastAsia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28">
    <w:lvl w:ilvl="0">
      <w:isLgl w:val="false"/>
      <w:lvlJc w:val="left"/>
      <w:lvlText w:val="%1."/>
      <w:numFmt w:val="decimal"/>
      <w:pPr>
        <w:pBdr/>
        <w:spacing/>
        <w:ind w:hanging="360" w:left="144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6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200"/>
      </w:pPr>
      <w:rPr/>
      <w:start w:val="1"/>
      <w:suff w:val="tab"/>
    </w:lvl>
  </w:abstractNum>
  <w:abstractNum w:abstractNumId="29">
    <w:lvl w:ilvl="0">
      <w:isLgl w:val="false"/>
      <w:lvlJc w:val="left"/>
      <w:lvlText w:val="%1)"/>
      <w:numFmt w:val="lowerLetter"/>
      <w:pPr>
        <w:pBdr/>
        <w:spacing/>
        <w:ind w:hanging="360" w:left="786"/>
      </w:pPr>
      <w:rPr>
        <w:rFonts w:hint="default" w:eastAsiaTheme="majorEastAsia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6"/>
      </w:pPr>
      <w:rPr/>
      <w:start w:val="1"/>
      <w:suff w:val="tab"/>
    </w:lvl>
  </w:abstractNum>
  <w:abstractNum w:abstractNumId="30">
    <w:lvl w:ilvl="0">
      <w:isLgl w:val="false"/>
      <w:lvlJc w:val="left"/>
      <w:lvlText w:val="%1)"/>
      <w:numFmt w:val="decimal"/>
      <w:pPr>
        <w:pBdr/>
        <w:spacing/>
        <w:ind w:hanging="360" w:left="502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2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94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66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8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0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2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54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262"/>
      </w:pPr>
      <w:rPr/>
      <w:start w:val="1"/>
      <w:suff w:val="tab"/>
    </w:lvl>
  </w:abstractNum>
  <w:abstractNum w:abstractNumId="31">
    <w:lvl w:ilvl="0">
      <w:isLgl w:val="false"/>
      <w:lvlJc w:val="left"/>
      <w:lvlText w:val="%1)"/>
      <w:numFmt w:val="lowerLetter"/>
      <w:pPr>
        <w:pBdr/>
        <w:spacing/>
        <w:ind w:hanging="360" w:left="1211"/>
      </w:pPr>
      <w:rPr>
        <w:rFonts w:hint="default" w:ascii="Times New Roman" w:hAnsi="Times New Roman" w:eastAsia="SimSun"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2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44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16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88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0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2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04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767"/>
      </w:pPr>
      <w:rPr>
        <w:rFonts w:cs="Times New Roman"/>
      </w:rPr>
      <w:start w:val="1"/>
      <w:suff w:val="tab"/>
    </w:lvl>
  </w:abstractNum>
  <w:abstractNum w:abstractNumId="32">
    <w:lvl w:ilvl="0">
      <w:isLgl w:val="false"/>
      <w:lvlJc w:val="right"/>
      <w:lvlText w:val="%1."/>
      <w:numFmt w:val="upperRoman"/>
      <w:pPr>
        <w:pBdr/>
        <w:spacing/>
        <w:ind w:hanging="360" w:left="720"/>
      </w:pPr>
      <w:pStyle w:val="838"/>
      <w:rPr/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360"/>
      </w:pPr>
      <w:rPr>
        <w:rFonts w:hint="default"/>
        <w:b w:val="0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3">
    <w:lvl w:ilvl="0">
      <w:isLgl w:val="false"/>
      <w:lvlJc w:val="left"/>
      <w:lvlText w:val="%1)"/>
      <w:numFmt w:val="lowerLetter"/>
      <w:pPr>
        <w:pBdr/>
        <w:spacing/>
        <w:ind w:hanging="360" w:left="786"/>
      </w:pPr>
      <w:rPr>
        <w:rFonts w:hint="default" w:eastAsiaTheme="majorEastAsia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34">
    <w:lvl w:ilvl="0">
      <w:isLgl w:val="false"/>
      <w:lvlJc w:val="left"/>
      <w:lvlText w:val="%1."/>
      <w:numFmt w:val="decimal"/>
      <w:pPr>
        <w:pBdr/>
        <w:spacing/>
        <w:ind w:hanging="360" w:left="786"/>
      </w:pPr>
      <w:rPr>
        <w:rFonts w:hint="default"/>
        <w:b/>
        <w:bCs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Times New Roman" w:hAnsi="Times New Roman" w:eastAsia="Times New Roman" w:cs="Times New Roman"/>
        <w:i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6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7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99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1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3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5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7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59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16"/>
      </w:pPr>
      <w:rPr/>
      <w:start w:val="1"/>
      <w:suff w:val="tab"/>
    </w:lvl>
  </w:abstractNum>
  <w:abstractNum w:abstractNumId="37"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1005"/>
      <w:rPr>
        <w:b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1080"/>
      </w:pPr>
      <w:rPr/>
      <w:start w:val="1"/>
      <w:suff w:val="tab"/>
    </w:lvl>
    <w:lvl w:ilvl="2">
      <w:isLgl w:val="false"/>
      <w:lvlJc w:val="left"/>
      <w:lvlText w:val="%3)"/>
      <w:numFmt w:val="lowerLetter"/>
      <w:pPr>
        <w:pBdr/>
        <w:spacing/>
        <w:ind w:hanging="360" w:left="198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3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3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2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13"/>
  </w:num>
  <w:num w:numId="58">
    <w:abstractNumId w:val="38"/>
  </w:num>
  <w:num w:numId="59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283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eastAsia="SimSun" w:asciiTheme="minorHAnsi" w:hAnsiTheme="minorHAnsi" w:cstheme="minorBidi"/>
        <w:sz w:val="22"/>
        <w:szCs w:val="22"/>
        <w:lang w:val="en-GB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8">
    <w:name w:val="Caption Char"/>
    <w:basedOn w:val="1065"/>
    <w:link w:val="1002"/>
    <w:uiPriority w:val="99"/>
    <w:pPr>
      <w:pBdr/>
      <w:spacing/>
      <w:ind/>
    </w:pPr>
  </w:style>
  <w:style w:type="table" w:styleId="779">
    <w:name w:val="Table Grid Light"/>
    <w:basedOn w:val="84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1 Light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1 Light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1 Light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1 Light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1 Light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2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2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2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2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2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2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3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3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3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3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3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3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4 - Accent 1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 - Accent 2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4 - Accent 3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4 - Accent 4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4 - Accent 5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4 - Accent 6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5 Dark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5 Dark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5 Dark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837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  <w:lang w:val="ro-RO"/>
    </w:rPr>
  </w:style>
  <w:style w:type="paragraph" w:styleId="838">
    <w:name w:val="Heading 1"/>
    <w:basedOn w:val="1005"/>
    <w:next w:val="837"/>
    <w:link w:val="995"/>
    <w:qFormat/>
    <w:pPr>
      <w:numPr>
        <w:ilvl w:val="0"/>
        <w:numId w:val="1"/>
      </w:numPr>
      <w:pBdr/>
      <w:spacing/>
      <w:ind/>
      <w:jc w:val="center"/>
      <w:outlineLvl w:val="0"/>
    </w:pPr>
    <w:rPr>
      <w:b/>
    </w:rPr>
  </w:style>
  <w:style w:type="paragraph" w:styleId="839">
    <w:name w:val="Heading 2"/>
    <w:basedOn w:val="837"/>
    <w:next w:val="837"/>
    <w:link w:val="996"/>
    <w:unhideWhenUsed/>
    <w:qFormat/>
    <w:pPr>
      <w:keepNext w:val="true"/>
      <w:keepLines w:val="true"/>
      <w:pBdr/>
      <w:spacing w:before="200"/>
      <w:ind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paragraph" w:styleId="840">
    <w:name w:val="Heading 3"/>
    <w:basedOn w:val="837"/>
    <w:next w:val="837"/>
    <w:link w:val="997"/>
    <w:unhideWhenUsed/>
    <w:qFormat/>
    <w:pPr>
      <w:keepNext w:val="true"/>
      <w:keepLines w:val="true"/>
      <w:pBdr/>
      <w:spacing w:before="200"/>
      <w:ind/>
      <w:outlineLvl w:val="2"/>
    </w:pPr>
    <w:rPr>
      <w:rFonts w:asciiTheme="majorHAnsi" w:hAnsiTheme="majorHAnsi" w:eastAsiaTheme="majorEastAsia" w:cstheme="majorBidi"/>
      <w:b/>
      <w:bCs/>
      <w:color w:val="5b9bd5" w:themeColor="accent1"/>
    </w:rPr>
  </w:style>
  <w:style w:type="paragraph" w:styleId="841">
    <w:name w:val="Heading 4"/>
    <w:basedOn w:val="837"/>
    <w:next w:val="837"/>
    <w:link w:val="998"/>
    <w:qFormat/>
    <w:pPr>
      <w:keepNext w:val="true"/>
      <w:pBdr/>
      <w:spacing/>
      <w:ind/>
      <w:outlineLvl w:val="3"/>
    </w:pPr>
    <w:rPr>
      <w:rFonts w:ascii="Baltica RR" w:hAnsi="Baltica RR"/>
      <w:b/>
      <w:szCs w:val="20"/>
      <w:lang w:eastAsia="ru-RU"/>
    </w:rPr>
  </w:style>
  <w:style w:type="paragraph" w:styleId="842">
    <w:name w:val="Heading 5"/>
    <w:basedOn w:val="837"/>
    <w:next w:val="837"/>
    <w:link w:val="999"/>
    <w:qFormat/>
    <w:pPr>
      <w:keepNext w:val="true"/>
      <w:pBdr/>
      <w:spacing/>
      <w:ind w:firstLine="6804"/>
      <w:outlineLvl w:val="4"/>
    </w:pPr>
    <w:rPr>
      <w:sz w:val="28"/>
      <w:szCs w:val="20"/>
      <w:lang w:eastAsia="ru-RU"/>
    </w:rPr>
  </w:style>
  <w:style w:type="paragraph" w:styleId="843">
    <w:name w:val="Heading 6"/>
    <w:basedOn w:val="837"/>
    <w:next w:val="837"/>
    <w:link w:val="975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4">
    <w:name w:val="Heading 7"/>
    <w:basedOn w:val="837"/>
    <w:next w:val="837"/>
    <w:link w:val="976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5">
    <w:name w:val="Heading 8"/>
    <w:basedOn w:val="837"/>
    <w:next w:val="837"/>
    <w:link w:val="1000"/>
    <w:semiHidden/>
    <w:unhideWhenUsed/>
    <w:qFormat/>
    <w:pPr>
      <w:pBdr/>
      <w:spacing w:after="60" w:before="240"/>
      <w:ind/>
      <w:outlineLvl w:val="7"/>
    </w:pPr>
    <w:rPr>
      <w:rFonts w:ascii="Calibri" w:hAnsi="Calibri"/>
      <w:i/>
      <w:iCs/>
    </w:rPr>
  </w:style>
  <w:style w:type="paragraph" w:styleId="846">
    <w:name w:val="Heading 9"/>
    <w:basedOn w:val="837"/>
    <w:next w:val="837"/>
    <w:link w:val="1001"/>
    <w:semiHidden/>
    <w:unhideWhenUsed/>
    <w:qFormat/>
    <w:pPr>
      <w:pBdr/>
      <w:spacing w:after="60" w:before="240"/>
      <w:ind/>
      <w:outlineLvl w:val="8"/>
    </w:pPr>
    <w:rPr>
      <w:rFonts w:ascii="Cambria" w:hAnsi="Cambria"/>
      <w:sz w:val="22"/>
      <w:szCs w:val="22"/>
    </w:rPr>
  </w:style>
  <w:style w:type="character" w:styleId="847" w:default="1">
    <w:name w:val="Default Paragraph Font"/>
    <w:uiPriority w:val="1"/>
    <w:semiHidden/>
    <w:unhideWhenUsed/>
    <w:pPr>
      <w:pBdr/>
      <w:spacing/>
      <w:ind/>
    </w:pPr>
  </w:style>
  <w:style w:type="table" w:styleId="84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 w:default="1">
    <w:name w:val="No List"/>
    <w:uiPriority w:val="99"/>
    <w:semiHidden/>
    <w:unhideWhenUsed/>
    <w:pPr>
      <w:pBdr/>
      <w:spacing/>
      <w:ind/>
    </w:pPr>
  </w:style>
  <w:style w:type="table" w:styleId="850">
    <w:name w:val="Grid Table Light"/>
    <w:basedOn w:val="84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Plain Table 1"/>
    <w:basedOn w:val="84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Plain Table 2"/>
    <w:basedOn w:val="84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Plain Table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1 Light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1 Light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1 Light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1 Light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1 Light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1 Light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1 Light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2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2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2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2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2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2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3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3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3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3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3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3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4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4 Accent 1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4 Accent 2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4 Accent 3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4 Accent 4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4 Accent 5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4 Accent 6"/>
    <w:basedOn w:val="84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5 Dark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5 Dark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5 Dark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5 Dark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5 Dark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5 Dark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5 Dark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6 Colorful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6 Colorful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6 Colorful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6 Colorful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6 Colorful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6 Colorful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6 Colorful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7 Colorful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7 Colorful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7 Colorful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7 Colorful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7 Colorful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7 Colorful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7 Colorful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1 Light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1 Light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1 Light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1 Light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1 Light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1 Light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1 Light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2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2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2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2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2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2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3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3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3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3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3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3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4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4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4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4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4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4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5 Dark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5 Dark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5 Dark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5 Dark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5 Dark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5 Dark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5 Dark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6 Colorful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6 Colorful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6 Colorful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6 Colorful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6 Colorful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6 Colorful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6 Colorful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7 Colorful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7 Colorful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7 Colorful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7 Colorful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7 Colorful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7 Colorful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7 Colorful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ned - Accent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ned - Accent 1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ned - Accent 2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ned - Accent 3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ned - Accent 4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ned - Accent 5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ned - Accent 6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 &amp; Lined - Accent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&amp; Lined - Accent 1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&amp; Lined - Accent 2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&amp; Lined - Accent 3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&amp; Lined - Accent 4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&amp; Lined - Accent 5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&amp; Lined - Accent 6"/>
    <w:basedOn w:val="848"/>
    <w:uiPriority w:val="99"/>
    <w:pPr>
      <w:pBdr/>
      <w:spacing w:after="0" w:line="240" w:lineRule="auto"/>
      <w:ind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Bordered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Bordered - Accent 1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Bordered - Accent 2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Bordered - Accent 3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Bordered - Accent 4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Bordered - Accent 5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Bordered - Accent 6"/>
    <w:basedOn w:val="84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5" w:customStyle="1">
    <w:name w:val="Heading 6 Char"/>
    <w:basedOn w:val="847"/>
    <w:link w:val="8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76" w:customStyle="1">
    <w:name w:val="Heading 7 Char"/>
    <w:basedOn w:val="847"/>
    <w:link w:val="8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977">
    <w:name w:val="Title"/>
    <w:basedOn w:val="837"/>
    <w:next w:val="837"/>
    <w:link w:val="978"/>
    <w:uiPriority w:val="10"/>
    <w:qFormat/>
    <w:pPr>
      <w:pBdr/>
      <w:spacing w:after="80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78" w:customStyle="1">
    <w:name w:val="Title Char"/>
    <w:basedOn w:val="847"/>
    <w:link w:val="97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79">
    <w:name w:val="Quote"/>
    <w:basedOn w:val="837"/>
    <w:next w:val="837"/>
    <w:link w:val="98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80" w:customStyle="1">
    <w:name w:val="Quote Char"/>
    <w:basedOn w:val="847"/>
    <w:link w:val="97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81">
    <w:name w:val="Intense Emphasis"/>
    <w:basedOn w:val="847"/>
    <w:uiPriority w:val="21"/>
    <w:qFormat/>
    <w:pPr>
      <w:pBdr/>
      <w:spacing/>
      <w:ind/>
    </w:pPr>
    <w:rPr>
      <w:i/>
      <w:iCs/>
      <w:color w:val="2e74b5" w:themeColor="accent1" w:themeShade="BF"/>
    </w:rPr>
  </w:style>
  <w:style w:type="paragraph" w:styleId="982">
    <w:name w:val="Intense Quote"/>
    <w:basedOn w:val="837"/>
    <w:next w:val="837"/>
    <w:link w:val="983"/>
    <w:uiPriority w:val="30"/>
    <w:qFormat/>
    <w:pPr>
      <w:pBdr>
        <w:top w:val="single" w:color="2e74b5" w:themeColor="accent1" w:themeShade="BF" w:sz="4" w:space="10"/>
        <w:bottom w:val="single" w:color="2e74b5" w:themeColor="accent1" w:themeShade="BF" w:sz="4" w:space="10"/>
      </w:pBdr>
      <w:spacing w:after="360" w:before="360"/>
      <w:ind w:right="864" w:left="864"/>
      <w:jc w:val="center"/>
    </w:pPr>
    <w:rPr>
      <w:i/>
      <w:iCs/>
      <w:color w:val="2e74b5" w:themeColor="accent1" w:themeShade="BF"/>
    </w:rPr>
  </w:style>
  <w:style w:type="character" w:styleId="983" w:customStyle="1">
    <w:name w:val="Intense Quote Char"/>
    <w:basedOn w:val="847"/>
    <w:link w:val="982"/>
    <w:uiPriority w:val="30"/>
    <w:pPr>
      <w:pBdr/>
      <w:spacing/>
      <w:ind/>
    </w:pPr>
    <w:rPr>
      <w:i/>
      <w:iCs/>
      <w:color w:val="2e74b5" w:themeColor="accent1" w:themeShade="BF"/>
    </w:rPr>
  </w:style>
  <w:style w:type="character" w:styleId="984">
    <w:name w:val="Intense Reference"/>
    <w:basedOn w:val="847"/>
    <w:uiPriority w:val="32"/>
    <w:qFormat/>
    <w:pPr>
      <w:pBdr/>
      <w:spacing/>
      <w:ind/>
    </w:pPr>
    <w:rPr>
      <w:b/>
      <w:bCs/>
      <w:smallCaps/>
      <w:color w:val="2e74b5" w:themeColor="accent1" w:themeShade="BF"/>
      <w:spacing w:val="5"/>
    </w:rPr>
  </w:style>
  <w:style w:type="paragraph" w:styleId="985">
    <w:name w:val="No Spacing"/>
    <w:basedOn w:val="837"/>
    <w:uiPriority w:val="1"/>
    <w:qFormat/>
    <w:pPr>
      <w:pBdr/>
      <w:spacing/>
      <w:ind/>
    </w:pPr>
  </w:style>
  <w:style w:type="character" w:styleId="986">
    <w:name w:val="Subtle Emphasis"/>
    <w:basedOn w:val="8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87">
    <w:name w:val="Emphasis"/>
    <w:basedOn w:val="847"/>
    <w:uiPriority w:val="20"/>
    <w:qFormat/>
    <w:pPr>
      <w:pBdr/>
      <w:spacing/>
      <w:ind/>
    </w:pPr>
    <w:rPr>
      <w:i/>
      <w:iCs/>
    </w:rPr>
  </w:style>
  <w:style w:type="character" w:styleId="988">
    <w:name w:val="Subtle Reference"/>
    <w:basedOn w:val="8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89">
    <w:name w:val="Book Title"/>
    <w:basedOn w:val="8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90">
    <w:name w:val="endnote text"/>
    <w:basedOn w:val="837"/>
    <w:link w:val="991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91" w:customStyle="1">
    <w:name w:val="Endnote Text Char"/>
    <w:basedOn w:val="847"/>
    <w:link w:val="990"/>
    <w:uiPriority w:val="99"/>
    <w:semiHidden/>
    <w:pPr>
      <w:pBdr/>
      <w:spacing/>
      <w:ind/>
    </w:pPr>
    <w:rPr>
      <w:sz w:val="20"/>
      <w:szCs w:val="20"/>
    </w:rPr>
  </w:style>
  <w:style w:type="character" w:styleId="992">
    <w:name w:val="endnote reference"/>
    <w:basedOn w:val="847"/>
    <w:uiPriority w:val="99"/>
    <w:semiHidden/>
    <w:unhideWhenUsed/>
    <w:pPr>
      <w:pBdr/>
      <w:spacing/>
      <w:ind/>
    </w:pPr>
    <w:rPr>
      <w:vertAlign w:val="superscript"/>
    </w:rPr>
  </w:style>
  <w:style w:type="character" w:styleId="993">
    <w:name w:val="FollowedHyperlink"/>
    <w:basedOn w:val="847"/>
    <w:link w:val="108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94">
    <w:name w:val="table of figures"/>
    <w:basedOn w:val="837"/>
    <w:next w:val="837"/>
    <w:uiPriority w:val="99"/>
    <w:unhideWhenUsed/>
    <w:pPr>
      <w:pBdr/>
      <w:spacing/>
      <w:ind/>
    </w:pPr>
  </w:style>
  <w:style w:type="character" w:styleId="995" w:customStyle="1">
    <w:name w:val="Heading 1 Char"/>
    <w:basedOn w:val="847"/>
    <w:link w:val="838"/>
    <w:pPr>
      <w:pBdr/>
      <w:spacing/>
      <w:ind/>
    </w:pPr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styleId="996" w:customStyle="1">
    <w:name w:val="Heading 2 Char"/>
    <w:basedOn w:val="847"/>
    <w:link w:val="839"/>
    <w:pPr>
      <w:pBdr/>
      <w:spacing/>
      <w:ind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</w:rPr>
  </w:style>
  <w:style w:type="character" w:styleId="997" w:customStyle="1">
    <w:name w:val="Heading 3 Char"/>
    <w:basedOn w:val="847"/>
    <w:link w:val="840"/>
    <w:pPr>
      <w:pBdr/>
      <w:spacing/>
      <w:ind/>
    </w:pPr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</w:rPr>
  </w:style>
  <w:style w:type="character" w:styleId="998" w:customStyle="1">
    <w:name w:val="Heading 4 Char"/>
    <w:basedOn w:val="847"/>
    <w:link w:val="841"/>
    <w:pPr>
      <w:pBdr/>
      <w:spacing/>
      <w:ind/>
    </w:pPr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styleId="999" w:customStyle="1">
    <w:name w:val="Heading 5 Char"/>
    <w:basedOn w:val="847"/>
    <w:link w:val="842"/>
    <w:pPr>
      <w:pBdr/>
      <w:spacing/>
      <w:ind/>
    </w:pPr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styleId="1000" w:customStyle="1">
    <w:name w:val="Heading 8 Char"/>
    <w:basedOn w:val="847"/>
    <w:link w:val="845"/>
    <w:semiHidden/>
    <w:pPr>
      <w:pBdr/>
      <w:spacing/>
      <w:ind/>
    </w:pPr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styleId="1001" w:customStyle="1">
    <w:name w:val="Heading 9 Char"/>
    <w:basedOn w:val="847"/>
    <w:link w:val="846"/>
    <w:semiHidden/>
    <w:pPr>
      <w:pBdr/>
      <w:spacing/>
      <w:ind/>
    </w:pPr>
    <w:rPr>
      <w:rFonts w:ascii="Cambria" w:hAnsi="Cambria" w:eastAsia="Times New Roman" w:cs="Times New Roman"/>
      <w:lang w:val="ro-RO"/>
    </w:rPr>
  </w:style>
  <w:style w:type="paragraph" w:styleId="1002">
    <w:name w:val="Footer"/>
    <w:basedOn w:val="837"/>
    <w:link w:val="1003"/>
    <w:uiPriority w:val="99"/>
    <w:pPr>
      <w:pBdr/>
      <w:tabs>
        <w:tab w:val="center" w:leader="none" w:pos="4536"/>
        <w:tab w:val="right" w:leader="none" w:pos="9072"/>
      </w:tabs>
      <w:spacing/>
      <w:ind/>
    </w:pPr>
  </w:style>
  <w:style w:type="character" w:styleId="1003" w:customStyle="1">
    <w:name w:val="Footer Char"/>
    <w:basedOn w:val="847"/>
    <w:link w:val="1002"/>
    <w:uiPriority w:val="99"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ro-RO"/>
    </w:rPr>
  </w:style>
  <w:style w:type="character" w:styleId="1004">
    <w:name w:val="page number"/>
    <w:basedOn w:val="847"/>
    <w:pPr>
      <w:pBdr/>
      <w:spacing/>
      <w:ind/>
    </w:pPr>
  </w:style>
  <w:style w:type="paragraph" w:styleId="1005">
    <w:name w:val="List Paragraph"/>
    <w:basedOn w:val="837"/>
    <w:link w:val="1078"/>
    <w:uiPriority w:val="34"/>
    <w:qFormat/>
    <w:pPr>
      <w:numPr>
        <w:ilvl w:val="0"/>
        <w:numId w:val="2"/>
      </w:numPr>
      <w:pBdr/>
      <w:tabs>
        <w:tab w:val="left" w:leader="none" w:pos="1134"/>
      </w:tabs>
      <w:spacing/>
      <w:ind/>
      <w:jc w:val="both"/>
    </w:pPr>
    <w:rPr>
      <w:lang w:val="en-US"/>
    </w:rPr>
  </w:style>
  <w:style w:type="paragraph" w:styleId="1006">
    <w:name w:val="Body Text"/>
    <w:basedOn w:val="837"/>
    <w:link w:val="1007"/>
    <w:pPr>
      <w:pBdr/>
      <w:spacing/>
      <w:ind/>
    </w:pPr>
    <w:rPr>
      <w:rFonts w:ascii="Baltica RR" w:hAnsi="Baltica RR"/>
      <w:szCs w:val="20"/>
    </w:rPr>
  </w:style>
  <w:style w:type="character" w:styleId="1007" w:customStyle="1">
    <w:name w:val="Body Text Char"/>
    <w:basedOn w:val="847"/>
    <w:link w:val="1006"/>
    <w:pPr>
      <w:pBdr/>
      <w:spacing/>
      <w:ind/>
    </w:pPr>
    <w:rPr>
      <w:rFonts w:ascii="Baltica RR" w:hAnsi="Baltica RR" w:eastAsia="Times New Roman" w:cs="Times New Roman"/>
      <w:sz w:val="24"/>
      <w:szCs w:val="20"/>
      <w:lang w:val="ro-RO"/>
    </w:rPr>
  </w:style>
  <w:style w:type="paragraph" w:styleId="1008">
    <w:name w:val="Header"/>
    <w:basedOn w:val="837"/>
    <w:link w:val="1009"/>
    <w:pPr>
      <w:pBdr/>
      <w:tabs>
        <w:tab w:val="center" w:leader="none" w:pos="4703"/>
        <w:tab w:val="right" w:leader="none" w:pos="9406"/>
      </w:tabs>
      <w:spacing/>
      <w:ind/>
    </w:pPr>
    <w:rPr>
      <w:sz w:val="20"/>
      <w:szCs w:val="20"/>
      <w:lang w:val="ru-RU" w:eastAsia="ru-RU"/>
    </w:rPr>
  </w:style>
  <w:style w:type="character" w:styleId="1009" w:customStyle="1">
    <w:name w:val="Header Char"/>
    <w:basedOn w:val="847"/>
    <w:link w:val="1008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paragraph" w:styleId="1010">
    <w:name w:val="Subtitle"/>
    <w:basedOn w:val="837"/>
    <w:link w:val="1011"/>
    <w:qFormat/>
    <w:pPr>
      <w:pBdr/>
      <w:spacing/>
      <w:ind/>
      <w:jc w:val="center"/>
    </w:pPr>
    <w:rPr>
      <w:b/>
      <w:sz w:val="32"/>
      <w:szCs w:val="20"/>
      <w:lang w:val="en-US" w:eastAsia="ru-RU"/>
    </w:rPr>
  </w:style>
  <w:style w:type="character" w:styleId="1011" w:customStyle="1">
    <w:name w:val="Subtitle Char"/>
    <w:basedOn w:val="847"/>
    <w:link w:val="1010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paragraph" w:styleId="1012">
    <w:name w:val="Body Text Indent"/>
    <w:basedOn w:val="837"/>
    <w:link w:val="1013"/>
    <w:pPr>
      <w:pBdr/>
      <w:spacing/>
      <w:ind w:firstLine="720"/>
      <w:jc w:val="both"/>
    </w:pPr>
    <w:rPr>
      <w:sz w:val="20"/>
      <w:szCs w:val="20"/>
      <w:lang w:eastAsia="ru-RU"/>
    </w:rPr>
  </w:style>
  <w:style w:type="character" w:styleId="1013" w:customStyle="1">
    <w:name w:val="Body Text Indent Char"/>
    <w:basedOn w:val="847"/>
    <w:link w:val="1012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paragraph" w:styleId="1014">
    <w:name w:val="Body Text Indent 2"/>
    <w:basedOn w:val="837"/>
    <w:link w:val="1015"/>
    <w:pPr>
      <w:pBdr/>
      <w:spacing/>
      <w:ind w:firstLine="567"/>
    </w:pPr>
    <w:rPr>
      <w:rFonts w:ascii="Baltica RR" w:hAnsi="Baltica RR"/>
      <w:szCs w:val="20"/>
      <w:lang w:eastAsia="ru-RU"/>
    </w:rPr>
  </w:style>
  <w:style w:type="character" w:styleId="1015" w:customStyle="1">
    <w:name w:val="Body Text Indent 2 Char"/>
    <w:basedOn w:val="847"/>
    <w:link w:val="1014"/>
    <w:pPr>
      <w:pBdr/>
      <w:spacing/>
      <w:ind/>
    </w:pPr>
    <w:rPr>
      <w:rFonts w:ascii="Baltica RR" w:hAnsi="Baltica RR" w:eastAsia="Times New Roman" w:cs="Times New Roman"/>
      <w:sz w:val="24"/>
      <w:szCs w:val="20"/>
      <w:lang w:val="ro-RO" w:eastAsia="ru-RU"/>
    </w:rPr>
  </w:style>
  <w:style w:type="paragraph" w:styleId="1016">
    <w:name w:val="Body Text 2"/>
    <w:basedOn w:val="837"/>
    <w:link w:val="1017"/>
    <w:pPr>
      <w:pBdr/>
      <w:tabs>
        <w:tab w:val="left" w:leader="none" w:pos="426"/>
      </w:tabs>
      <w:spacing/>
      <w:ind/>
      <w:jc w:val="both"/>
    </w:pPr>
    <w:rPr>
      <w:rFonts w:ascii="Baltica RR" w:hAnsi="Baltica RR"/>
      <w:szCs w:val="20"/>
      <w:lang w:eastAsia="ru-RU"/>
    </w:rPr>
  </w:style>
  <w:style w:type="character" w:styleId="1017" w:customStyle="1">
    <w:name w:val="Body Text 2 Char"/>
    <w:basedOn w:val="847"/>
    <w:link w:val="1016"/>
    <w:pPr>
      <w:pBdr/>
      <w:spacing/>
      <w:ind/>
    </w:pPr>
    <w:rPr>
      <w:rFonts w:ascii="Baltica RR" w:hAnsi="Baltica RR" w:eastAsia="Times New Roman" w:cs="Times New Roman"/>
      <w:sz w:val="24"/>
      <w:szCs w:val="20"/>
      <w:lang w:val="ro-RO" w:eastAsia="ru-RU"/>
    </w:rPr>
  </w:style>
  <w:style w:type="paragraph" w:styleId="1018">
    <w:name w:val="Balloon Text"/>
    <w:basedOn w:val="837"/>
    <w:link w:val="1019"/>
    <w:semiHidden/>
    <w:pPr>
      <w:pBdr/>
      <w:spacing/>
      <w:ind/>
    </w:pPr>
    <w:rPr>
      <w:rFonts w:ascii="Tahoma" w:hAnsi="Tahoma" w:cs="Tahoma"/>
      <w:sz w:val="16"/>
      <w:szCs w:val="16"/>
      <w:lang w:val="ru-RU" w:eastAsia="ru-RU"/>
    </w:rPr>
  </w:style>
  <w:style w:type="character" w:styleId="1019" w:customStyle="1">
    <w:name w:val="Balloon Text Char"/>
    <w:basedOn w:val="847"/>
    <w:link w:val="1018"/>
    <w:semiHidden/>
    <w:pPr>
      <w:pBdr/>
      <w:spacing/>
      <w:ind/>
    </w:pPr>
    <w:rPr>
      <w:rFonts w:ascii="Tahoma" w:hAnsi="Tahoma" w:eastAsia="Times New Roman" w:cs="Tahoma"/>
      <w:sz w:val="16"/>
      <w:szCs w:val="16"/>
      <w:lang w:val="ru-RU" w:eastAsia="ru-RU"/>
    </w:rPr>
  </w:style>
  <w:style w:type="table" w:styleId="1020">
    <w:name w:val="Table Grid"/>
    <w:basedOn w:val="848"/>
    <w:uiPriority w:val="3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21">
    <w:name w:val="Normal (Web)"/>
    <w:basedOn w:val="837"/>
    <w:unhideWhenUsed/>
    <w:pPr>
      <w:pBdr/>
      <w:spacing/>
      <w:ind w:firstLine="567"/>
      <w:jc w:val="both"/>
    </w:pPr>
    <w:rPr>
      <w:lang w:val="ru-RU" w:eastAsia="ru-RU"/>
    </w:rPr>
  </w:style>
  <w:style w:type="paragraph" w:styleId="1022" w:customStyle="1">
    <w:name w:val="cn"/>
    <w:basedOn w:val="837"/>
    <w:pPr>
      <w:pBdr/>
      <w:spacing/>
      <w:ind/>
      <w:jc w:val="center"/>
    </w:pPr>
    <w:rPr>
      <w:lang w:val="ru-RU" w:eastAsia="ru-RU"/>
    </w:rPr>
  </w:style>
  <w:style w:type="paragraph" w:styleId="1023" w:customStyle="1">
    <w:name w:val="cb"/>
    <w:basedOn w:val="837"/>
    <w:pPr>
      <w:pBdr/>
      <w:spacing/>
      <w:ind/>
      <w:jc w:val="center"/>
    </w:pPr>
    <w:rPr>
      <w:b/>
      <w:bCs/>
      <w:lang w:val="ru-RU" w:eastAsia="ru-RU"/>
    </w:rPr>
  </w:style>
  <w:style w:type="paragraph" w:styleId="1024">
    <w:name w:val="Body Text Indent 3"/>
    <w:basedOn w:val="837"/>
    <w:link w:val="1025"/>
    <w:pPr>
      <w:pBdr/>
      <w:spacing w:after="120"/>
      <w:ind w:left="283"/>
    </w:pPr>
    <w:rPr>
      <w:sz w:val="16"/>
      <w:szCs w:val="16"/>
    </w:rPr>
  </w:style>
  <w:style w:type="character" w:styleId="1025" w:customStyle="1">
    <w:name w:val="Body Text Indent 3 Char"/>
    <w:basedOn w:val="847"/>
    <w:link w:val="1024"/>
    <w:pPr>
      <w:pBdr/>
      <w:spacing/>
      <w:ind/>
    </w:pPr>
    <w:rPr>
      <w:rFonts w:ascii="Times New Roman" w:hAnsi="Times New Roman" w:eastAsia="Times New Roman" w:cs="Times New Roman"/>
      <w:sz w:val="16"/>
      <w:szCs w:val="16"/>
      <w:lang w:val="ro-RO"/>
    </w:rPr>
  </w:style>
  <w:style w:type="character" w:styleId="1026">
    <w:name w:val="Hyperlink"/>
    <w:uiPriority w:val="99"/>
    <w:pPr>
      <w:pBdr/>
      <w:spacing/>
      <w:ind/>
    </w:pPr>
    <w:rPr>
      <w:color w:val="0000ff"/>
      <w:u w:val="single"/>
    </w:rPr>
  </w:style>
  <w:style w:type="paragraph" w:styleId="1027" w:customStyle="1">
    <w:name w:val="cp"/>
    <w:basedOn w:val="837"/>
    <w:pPr>
      <w:pBdr/>
      <w:spacing/>
      <w:ind/>
      <w:jc w:val="center"/>
    </w:pPr>
    <w:rPr>
      <w:b/>
      <w:bCs/>
      <w:lang w:eastAsia="ru-RU"/>
    </w:rPr>
  </w:style>
  <w:style w:type="paragraph" w:styleId="1028" w:customStyle="1">
    <w:name w:val="rg"/>
    <w:basedOn w:val="837"/>
    <w:pPr>
      <w:pBdr/>
      <w:spacing/>
      <w:ind/>
      <w:jc w:val="right"/>
    </w:pPr>
    <w:rPr>
      <w:lang w:val="ru-RU" w:eastAsia="ru-RU"/>
    </w:rPr>
  </w:style>
  <w:style w:type="paragraph" w:styleId="1029" w:customStyle="1">
    <w:name w:val="Listă paragraf1"/>
    <w:basedOn w:val="837"/>
    <w:qFormat/>
    <w:pPr>
      <w:pBdr/>
      <w:spacing/>
      <w:ind w:left="708"/>
    </w:pPr>
    <w:rPr>
      <w:lang w:eastAsia="ru-RU"/>
    </w:rPr>
  </w:style>
  <w:style w:type="paragraph" w:styleId="1030" w:customStyle="1">
    <w:name w:val="Sub-Clause Text"/>
    <w:basedOn w:val="837"/>
    <w:pPr>
      <w:pBdr/>
      <w:spacing w:after="120" w:before="120"/>
      <w:ind/>
      <w:jc w:val="both"/>
    </w:pPr>
    <w:rPr>
      <w:spacing w:val="-4"/>
      <w:szCs w:val="20"/>
      <w:lang w:val="en-US"/>
    </w:rPr>
  </w:style>
  <w:style w:type="paragraph" w:styleId="1031" w:customStyle="1">
    <w:name w:val="(i)"/>
    <w:basedOn w:val="837"/>
    <w:pPr>
      <w:pBdr/>
      <w:spacing/>
      <w:ind/>
      <w:jc w:val="both"/>
    </w:pPr>
    <w:rPr>
      <w:rFonts w:ascii="Tms Rmn" w:hAnsi="Tms Rmn"/>
      <w:szCs w:val="20"/>
      <w:lang w:val="en-US"/>
    </w:rPr>
  </w:style>
  <w:style w:type="paragraph" w:styleId="1032" w:customStyle="1">
    <w:name w:val="List Paragraph1"/>
    <w:basedOn w:val="837"/>
    <w:qFormat/>
    <w:pPr>
      <w:pBdr/>
      <w:spacing w:after="200" w:line="276" w:lineRule="auto"/>
      <w:ind w:left="720"/>
      <w:contextualSpacing w:val="true"/>
    </w:pPr>
    <w:rPr>
      <w:rFonts w:ascii="Calibri" w:hAnsi="Calibri" w:eastAsia="PMingLiU"/>
      <w:sz w:val="22"/>
      <w:szCs w:val="22"/>
      <w:lang w:val="en-US" w:eastAsia="zh-CN"/>
    </w:rPr>
  </w:style>
  <w:style w:type="paragraph" w:styleId="1033" w:customStyle="1">
    <w:name w:val="BankNormal"/>
    <w:basedOn w:val="837"/>
    <w:pPr>
      <w:pBdr/>
      <w:spacing w:after="240"/>
      <w:ind/>
    </w:pPr>
    <w:rPr>
      <w:szCs w:val="20"/>
      <w:lang w:val="en-US"/>
    </w:rPr>
  </w:style>
  <w:style w:type="paragraph" w:styleId="1034">
    <w:name w:val="TOC Heading"/>
    <w:basedOn w:val="838"/>
    <w:next w:val="837"/>
    <w:uiPriority w:val="39"/>
    <w:unhideWhenUsed/>
    <w:qFormat/>
    <w:pPr>
      <w:keepNext w:val="true"/>
      <w:keepLines w:val="true"/>
      <w:numPr>
        <w:ilvl w:val="0"/>
        <w:numId w:val="0"/>
      </w:numPr>
      <w:pBdr/>
      <w:tabs>
        <w:tab w:val="clear" w:leader="none" w:pos="1134"/>
      </w:tabs>
      <w:spacing w:before="240" w:line="259" w:lineRule="auto"/>
      <w:ind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paragraph" w:styleId="1035">
    <w:name w:val="toc 2"/>
    <w:basedOn w:val="837"/>
    <w:next w:val="837"/>
    <w:uiPriority w:val="39"/>
    <w:unhideWhenUsed/>
    <w:pPr>
      <w:pBdr/>
      <w:tabs>
        <w:tab w:val="left" w:leader="none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036">
    <w:name w:val="toc 1"/>
    <w:basedOn w:val="837"/>
    <w:next w:val="837"/>
    <w:uiPriority w:val="39"/>
    <w:unhideWhenUsed/>
    <w:pPr>
      <w:pBdr/>
      <w:tabs>
        <w:tab w:val="right" w:leader="dot" w:pos="9638"/>
      </w:tabs>
      <w:spacing w:after="100" w:line="259" w:lineRule="auto"/>
      <w:ind/>
    </w:pPr>
    <w:rPr>
      <w:rFonts w:eastAsia="SimSun"/>
      <w:b/>
      <w:lang w:val="en-US"/>
    </w:rPr>
  </w:style>
  <w:style w:type="paragraph" w:styleId="1037">
    <w:name w:val="toc 3"/>
    <w:basedOn w:val="837"/>
    <w:next w:val="837"/>
    <w:uiPriority w:val="39"/>
    <w:unhideWhenUsed/>
    <w:pPr>
      <w:pBdr/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1038">
    <w:name w:val="footnote text"/>
    <w:basedOn w:val="837"/>
    <w:link w:val="1039"/>
    <w:pPr>
      <w:pBdr/>
      <w:spacing/>
      <w:ind/>
      <w:jc w:val="both"/>
    </w:pPr>
    <w:rPr>
      <w:sz w:val="20"/>
      <w:szCs w:val="20"/>
      <w:lang w:val="en-US"/>
    </w:rPr>
  </w:style>
  <w:style w:type="character" w:styleId="1039" w:customStyle="1">
    <w:name w:val="Footnote Text Char"/>
    <w:basedOn w:val="847"/>
    <w:link w:val="1038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en-US"/>
    </w:rPr>
  </w:style>
  <w:style w:type="character" w:styleId="1040">
    <w:name w:val="footnote reference"/>
    <w:pPr>
      <w:pBdr/>
      <w:spacing/>
      <w:ind/>
    </w:pPr>
    <w:rPr>
      <w:vertAlign w:val="superscript"/>
    </w:rPr>
  </w:style>
  <w:style w:type="character" w:styleId="1041">
    <w:name w:val="annotation reference"/>
    <w:uiPriority w:val="99"/>
    <w:pPr>
      <w:pBdr/>
      <w:spacing/>
      <w:ind/>
    </w:pPr>
    <w:rPr>
      <w:sz w:val="16"/>
      <w:szCs w:val="16"/>
    </w:rPr>
  </w:style>
  <w:style w:type="paragraph" w:styleId="1042">
    <w:name w:val="annotation text"/>
    <w:basedOn w:val="837"/>
    <w:link w:val="1043"/>
    <w:uiPriority w:val="99"/>
    <w:pPr>
      <w:pBdr/>
      <w:spacing/>
      <w:ind/>
    </w:pPr>
    <w:rPr>
      <w:sz w:val="20"/>
      <w:szCs w:val="20"/>
      <w:lang w:val="ru-RU" w:eastAsia="ru-RU"/>
    </w:rPr>
  </w:style>
  <w:style w:type="character" w:styleId="1043" w:customStyle="1">
    <w:name w:val="Comment Text Char"/>
    <w:basedOn w:val="847"/>
    <w:link w:val="1042"/>
    <w:uiPriority w:val="99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paragraph" w:styleId="1044">
    <w:name w:val="annotation subject"/>
    <w:basedOn w:val="1042"/>
    <w:next w:val="1042"/>
    <w:link w:val="1045"/>
    <w:pPr>
      <w:pBdr/>
      <w:spacing/>
      <w:ind/>
    </w:pPr>
    <w:rPr>
      <w:b/>
      <w:bCs/>
    </w:rPr>
  </w:style>
  <w:style w:type="character" w:styleId="1045" w:customStyle="1">
    <w:name w:val="Comment Subject Char"/>
    <w:basedOn w:val="1043"/>
    <w:link w:val="1044"/>
    <w:pPr>
      <w:pBdr/>
      <w:spacing/>
      <w:ind/>
    </w:pPr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styleId="1046" w:customStyle="1">
    <w:name w:val="Default"/>
    <w:pPr>
      <w:pBdr/>
      <w:spacing w:after="0" w:line="240" w:lineRule="auto"/>
      <w:ind/>
    </w:pPr>
    <w:rPr>
      <w:rFonts w:ascii="EUAlbertina" w:hAnsi="EUAlbertina" w:eastAsia="PMingLiU" w:cs="EUAlbertina"/>
      <w:color w:val="000000"/>
      <w:sz w:val="24"/>
      <w:szCs w:val="24"/>
      <w:lang w:val="en-US" w:eastAsia="zh-CN"/>
    </w:rPr>
  </w:style>
  <w:style w:type="paragraph" w:styleId="1047" w:customStyle="1">
    <w:name w:val="Standard"/>
    <w:pPr>
      <w:pBdr/>
      <w:spacing w:after="200" w:line="276" w:lineRule="auto"/>
      <w:ind/>
    </w:pPr>
    <w:rPr>
      <w:rFonts w:ascii="Calibri" w:hAnsi="Calibri" w:eastAsia="Calibri" w:cs="Calibri"/>
      <w:lang w:val="en-US"/>
    </w:rPr>
  </w:style>
  <w:style w:type="character" w:styleId="1048" w:customStyle="1">
    <w:name w:val="apple-converted-space"/>
    <w:pPr>
      <w:pBdr/>
      <w:spacing/>
      <w:ind/>
    </w:pPr>
  </w:style>
  <w:style w:type="paragraph" w:styleId="1049" w:customStyle="1">
    <w:name w:val="Style3"/>
    <w:basedOn w:val="840"/>
    <w:link w:val="1050"/>
    <w:qFormat/>
    <w:pPr>
      <w:keepNext w:val="false"/>
      <w:keepLines w:val="false"/>
      <w:pBdr/>
      <w:tabs>
        <w:tab w:val="left" w:leader="none" w:pos="360"/>
      </w:tabs>
      <w:spacing w:after="120" w:before="100" w:beforeAutospacing="1"/>
      <w:ind w:hanging="870" w:left="1338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styleId="1050" w:customStyle="1">
    <w:name w:val="Style3 Char"/>
    <w:link w:val="1049"/>
    <w:pPr>
      <w:pBdr/>
      <w:spacing/>
      <w:ind/>
    </w:pPr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styleId="1051">
    <w:name w:val="toc 4"/>
    <w:basedOn w:val="837"/>
    <w:next w:val="837"/>
    <w:uiPriority w:val="39"/>
    <w:unhideWhenUsed/>
    <w:pPr>
      <w:pBdr/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1052">
    <w:name w:val="toc 5"/>
    <w:basedOn w:val="837"/>
    <w:next w:val="837"/>
    <w:uiPriority w:val="39"/>
    <w:unhideWhenUsed/>
    <w:pPr>
      <w:pBdr/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1053">
    <w:name w:val="toc 6"/>
    <w:basedOn w:val="837"/>
    <w:next w:val="837"/>
    <w:uiPriority w:val="39"/>
    <w:unhideWhenUsed/>
    <w:pPr>
      <w:pBdr/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1054">
    <w:name w:val="toc 7"/>
    <w:basedOn w:val="837"/>
    <w:next w:val="837"/>
    <w:uiPriority w:val="39"/>
    <w:unhideWhenUsed/>
    <w:pPr>
      <w:pBdr/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1055">
    <w:name w:val="toc 8"/>
    <w:basedOn w:val="837"/>
    <w:next w:val="837"/>
    <w:uiPriority w:val="39"/>
    <w:unhideWhenUsed/>
    <w:pPr>
      <w:pBdr/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1056">
    <w:name w:val="toc 9"/>
    <w:basedOn w:val="837"/>
    <w:next w:val="837"/>
    <w:uiPriority w:val="39"/>
    <w:unhideWhenUsed/>
    <w:pPr>
      <w:pBdr/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1057" w:customStyle="1">
    <w:name w:val="Style153"/>
    <w:basedOn w:val="837"/>
    <w:uiPriority w:val="99"/>
    <w:pPr>
      <w:widowControl w:val="false"/>
      <w:pBdr/>
      <w:spacing w:line="317" w:lineRule="exact"/>
      <w:ind/>
      <w:jc w:val="both"/>
    </w:pPr>
    <w:rPr>
      <w:lang w:eastAsia="ro-RO"/>
    </w:rPr>
  </w:style>
  <w:style w:type="character" w:styleId="1058" w:customStyle="1">
    <w:name w:val="Font Style195"/>
    <w:uiPriority w:val="99"/>
    <w:pPr>
      <w:pBdr/>
      <w:spacing/>
      <w:ind/>
    </w:pPr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1059" w:customStyle="1">
    <w:name w:val="Style73"/>
    <w:basedOn w:val="837"/>
    <w:uiPriority w:val="99"/>
    <w:pPr>
      <w:widowControl w:val="false"/>
      <w:pBdr/>
      <w:spacing w:line="314" w:lineRule="exact"/>
      <w:ind/>
      <w:jc w:val="both"/>
    </w:pPr>
    <w:rPr>
      <w:lang w:eastAsia="ro-RO"/>
    </w:rPr>
  </w:style>
  <w:style w:type="character" w:styleId="1060" w:customStyle="1">
    <w:name w:val="Font Style197"/>
    <w:uiPriority w:val="99"/>
    <w:pPr>
      <w:pBdr/>
      <w:spacing/>
      <w:ind/>
    </w:pPr>
    <w:rPr>
      <w:rFonts w:ascii="Times New Roman" w:hAnsi="Times New Roman" w:cs="Times New Roman"/>
      <w:sz w:val="22"/>
      <w:szCs w:val="22"/>
    </w:rPr>
  </w:style>
  <w:style w:type="paragraph" w:styleId="1061">
    <w:name w:val="HTML Preformatted"/>
    <w:basedOn w:val="837"/>
    <w:link w:val="1062"/>
    <w:uiPriority w:val="99"/>
    <w:semiHidden/>
    <w:unhideWhenUsed/>
    <w:pPr>
      <w:pBdr/>
      <w:spacing/>
      <w:ind/>
    </w:pPr>
    <w:rPr>
      <w:rFonts w:ascii="Consolas" w:hAnsi="Consolas"/>
      <w:sz w:val="20"/>
      <w:szCs w:val="20"/>
    </w:rPr>
  </w:style>
  <w:style w:type="character" w:styleId="1062" w:customStyle="1">
    <w:name w:val="HTML Preformatted Char"/>
    <w:basedOn w:val="847"/>
    <w:link w:val="1061"/>
    <w:uiPriority w:val="99"/>
    <w:semiHidden/>
    <w:pPr>
      <w:pBdr/>
      <w:spacing/>
      <w:ind/>
    </w:pPr>
    <w:rPr>
      <w:rFonts w:ascii="Consolas" w:hAnsi="Consolas" w:eastAsia="Times New Roman" w:cs="Times New Roman"/>
      <w:sz w:val="20"/>
      <w:szCs w:val="20"/>
      <w:lang w:val="ro-RO"/>
    </w:rPr>
  </w:style>
  <w:style w:type="character" w:styleId="1063" w:customStyle="1">
    <w:name w:val="Style4 Char"/>
    <w:basedOn w:val="1050"/>
    <w:pPr>
      <w:pBdr/>
      <w:spacing/>
      <w:ind/>
    </w:pPr>
    <w:rPr>
      <w:rFonts w:ascii="Times New Roman" w:hAnsi="Times New Roman" w:eastAsia="Calibri" w:cs="Times New Roman"/>
      <w:b/>
      <w:sz w:val="24"/>
      <w:szCs w:val="24"/>
      <w:lang w:val="ru-RU" w:eastAsia="ru-RU" w:bidi="ar-SA"/>
    </w:rPr>
  </w:style>
  <w:style w:type="character" w:styleId="1064" w:customStyle="1">
    <w:name w:val="short_text"/>
    <w:pPr>
      <w:pBdr/>
      <w:spacing/>
      <w:ind/>
    </w:pPr>
  </w:style>
  <w:style w:type="paragraph" w:styleId="1065">
    <w:name w:val="Caption"/>
    <w:basedOn w:val="837"/>
    <w:qFormat/>
    <w:pPr>
      <w:pBdr/>
      <w:spacing w:after="60" w:before="240"/>
      <w:ind/>
      <w:jc w:val="center"/>
    </w:pPr>
    <w:rPr>
      <w:rFonts w:ascii="Arial" w:hAnsi="Arial"/>
      <w:b/>
      <w:sz w:val="32"/>
      <w:szCs w:val="20"/>
      <w:lang w:val="ru-RU" w:eastAsia="ru-RU"/>
    </w:rPr>
  </w:style>
  <w:style w:type="character" w:styleId="1066" w:customStyle="1">
    <w:name w:val="Основной текст + Курсив"/>
    <w:pPr>
      <w:pBdr/>
      <w:spacing/>
      <w:ind/>
    </w:pPr>
    <w:rPr>
      <w:rFonts w:ascii="Times New Roman" w:hAnsi="Times New Roman"/>
      <w:i/>
      <w:color w:val="000000"/>
      <w:spacing w:val="0"/>
      <w:position w:val="0"/>
      <w:sz w:val="22"/>
      <w:u w:val="none"/>
      <w:lang w:val="ro-RO" w:eastAsia="ro-RO"/>
    </w:rPr>
  </w:style>
  <w:style w:type="character" w:styleId="1067">
    <w:name w:val="Strong"/>
    <w:basedOn w:val="847"/>
    <w:uiPriority w:val="22"/>
    <w:qFormat/>
    <w:pPr>
      <w:pBdr/>
      <w:spacing/>
      <w:ind/>
    </w:pPr>
    <w:rPr>
      <w:b/>
      <w:bCs/>
    </w:rPr>
  </w:style>
  <w:style w:type="paragraph" w:styleId="1068">
    <w:name w:val="Revision"/>
    <w:hidden/>
    <w:uiPriority w:val="99"/>
    <w:semiHidden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  <w:lang w:val="ro-RO"/>
    </w:rPr>
  </w:style>
  <w:style w:type="table" w:styleId="1069" w:customStyle="1">
    <w:name w:val="Griglia tabella1"/>
    <w:basedOn w:val="848"/>
    <w:next w:val="1020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0" w:customStyle="1">
    <w:name w:val="Griglia tabella2"/>
    <w:basedOn w:val="848"/>
    <w:next w:val="1020"/>
    <w:uiPriority w:val="39"/>
    <w:pPr>
      <w:pBdr/>
      <w:spacing w:after="0" w:line="240" w:lineRule="auto"/>
      <w:ind/>
    </w:pPr>
    <w:rPr>
      <w:lang w:val="ro-RO" w:eastAsia="zh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1" w:customStyle="1">
    <w:name w:val="Griglia tabella3"/>
    <w:basedOn w:val="848"/>
    <w:next w:val="1020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2" w:customStyle="1">
    <w:name w:val="Table Grid2"/>
    <w:basedOn w:val="848"/>
    <w:next w:val="1020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3" w:customStyle="1">
    <w:name w:val="Griglia tabella4"/>
    <w:basedOn w:val="848"/>
    <w:next w:val="1020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74">
    <w:name w:val="Placeholder Text"/>
    <w:basedOn w:val="847"/>
    <w:uiPriority w:val="99"/>
    <w:semiHidden/>
    <w:pPr>
      <w:pBdr/>
      <w:spacing/>
      <w:ind/>
    </w:pPr>
    <w:rPr>
      <w:color w:val="808080"/>
    </w:rPr>
  </w:style>
  <w:style w:type="character" w:styleId="1075" w:customStyle="1">
    <w:name w:val="ln2paragraf1"/>
    <w:pPr>
      <w:pBdr/>
      <w:spacing/>
      <w:ind/>
    </w:pPr>
    <w:rPr>
      <w:b/>
      <w:bCs/>
    </w:rPr>
  </w:style>
  <w:style w:type="character" w:styleId="1076" w:customStyle="1">
    <w:name w:val="ln2tparagraf"/>
    <w:pPr>
      <w:pBdr/>
      <w:spacing/>
      <w:ind/>
    </w:pPr>
  </w:style>
  <w:style w:type="character" w:styleId="1077" w:customStyle="1">
    <w:name w:val="ln2tpunct"/>
    <w:pPr>
      <w:pBdr/>
      <w:spacing/>
      <w:ind/>
    </w:pPr>
  </w:style>
  <w:style w:type="character" w:styleId="1078" w:customStyle="1">
    <w:name w:val="List Paragraph Char"/>
    <w:link w:val="1005"/>
    <w:uiPriority w:val="34"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1079" w:customStyle="1">
    <w:name w:val="Unresolved Mention1"/>
    <w:basedOn w:val="847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1080" w:customStyle="1">
    <w:name w:val="Unresolved Mention2"/>
    <w:basedOn w:val="847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1081" w:customStyle="1">
    <w:name w:val="tax1"/>
    <w:pPr>
      <w:pBdr/>
      <w:spacing/>
      <w:ind/>
    </w:pPr>
    <w:rPr>
      <w:b/>
      <w:bCs/>
      <w:sz w:val="26"/>
      <w:szCs w:val="26"/>
    </w:rPr>
  </w:style>
  <w:style w:type="paragraph" w:styleId="1082" w:customStyle="1">
    <w:name w:val="Default Text"/>
    <w:basedOn w:val="837"/>
    <w:link w:val="1083"/>
    <w:uiPriority w:val="99"/>
    <w:pPr>
      <w:pBdr/>
      <w:spacing/>
      <w:ind/>
    </w:pPr>
    <w:rPr>
      <w:szCs w:val="20"/>
      <w:lang w:val="en-US"/>
    </w:rPr>
  </w:style>
  <w:style w:type="character" w:styleId="1083" w:customStyle="1">
    <w:name w:val="Default Text Char"/>
    <w:link w:val="1082"/>
    <w:uiPriority w:val="99"/>
    <w:pPr>
      <w:pBdr/>
      <w:spacing/>
      <w:ind/>
    </w:pPr>
    <w:rPr>
      <w:rFonts w:ascii="Times New Roman" w:hAnsi="Times New Roman" w:eastAsia="Times New Roman" w:cs="Times New Roman"/>
      <w:sz w:val="24"/>
      <w:szCs w:val="20"/>
      <w:lang w:val="en-US"/>
    </w:rPr>
  </w:style>
  <w:style w:type="paragraph" w:styleId="1084" w:customStyle="1">
    <w:name w:val="1.TEXT"/>
    <w:link w:val="993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0" w:line="240" w:lineRule="auto"/>
      <w:ind w:firstLine="284"/>
      <w:jc w:val="both"/>
    </w:pPr>
    <w:rPr>
      <w:rFonts w:ascii="Times New Roman" w:hAnsi="Times New Roman" w:cs="Pragma_MonitorOficial" w:eastAsiaTheme="minorHAnsi"/>
      <w:color w:val="000000"/>
      <w:sz w:val="24"/>
      <w:szCs w:val="16"/>
      <w:lang w:val="ru-RU"/>
      <w14:ligatures w14:val="standardContextual"/>
    </w:rPr>
  </w:style>
  <w:style w:type="table" w:styleId="1085" w:customStyle="1">
    <w:name w:val="Grilă Tabel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  <w:tcW w:w="0" w:type="auto"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86" w:customStyle="1">
    <w:name w:val="Table Paragraph"/>
    <w:uiPriority w:val="1"/>
    <w:qFormat/>
    <w:pPr>
      <w:widowControl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0" w:line="240" w:lineRule="auto"/>
      <w:ind/>
    </w:pPr>
    <w:rPr>
      <w:rFonts w:ascii="Times New Roman" w:hAnsi="Times New Roman" w:eastAsia="Times New Roman" w:cs="Times New Roman"/>
      <w:lang w:val="ro-RO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hyperlink" Target="mailto:atas.centru-est@social.gov.md" TargetMode="External"/><Relationship Id="rId12" Type="http://schemas.openxmlformats.org/officeDocument/2006/relationships/hyperlink" Target="https://restart.gov.md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96BF0-0BA1-4D2C-8F24-518B7921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>Hewlett-Packard 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revision>133</cp:revision>
  <dcterms:created xsi:type="dcterms:W3CDTF">2021-04-23T08:53:00Z</dcterms:created>
  <dcterms:modified xsi:type="dcterms:W3CDTF">2026-05-11T05:49:20Z</dcterms:modified>
</cp:coreProperties>
</file>