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right"/>
      </w:pPr>
      <w:r>
        <w:rPr>
          <w:b/>
          <w:sz w:val="18"/>
        </w:rPr>
        <w:t>Anexa nr. 22</w:t>
        <w:br/>
        <w:t>la Documentația standard nr. 115</w:t>
        <w:br/>
        <w:t>din 15.09.2021</w:t>
      </w:r>
    </w:p>
    <w:p>
      <w:pPr>
        <w:jc w:val="center"/>
      </w:pPr>
      <w:r>
        <w:rPr>
          <w:b/>
          <w:sz w:val="24"/>
        </w:rPr>
        <w:t>SPECIFICAȚII TEHNICE</w:t>
      </w:r>
    </w:p>
    <w:p>
      <w:r>
        <w:rPr>
          <w:i/>
          <w:sz w:val="16"/>
        </w:rPr>
        <w:t>[Acest tabel va fi completat de către autoritatea contractantă în coloana 5 și parțial în coloanele 1 și 7. Ofertantul completează coloanele 2, 3, 4 și 6.]</w:t>
      </w:r>
    </w:p>
    <w:p>
      <w:r>
        <w:rPr>
          <w:sz w:val="18"/>
        </w:rPr>
        <w:t>Numărul procedurii de achiziție: ______________ din __________</w:t>
      </w:r>
    </w:p>
    <w:p>
      <w:r>
        <w:rPr>
          <w:b/>
          <w:sz w:val="18"/>
        </w:rPr>
        <w:t>Obiectul achiziției: Elaborarea studiului de fezabilitate privind restaurarea râului Camenca (pe baza constatărilor de pre-fezabilitate)</w:t>
      </w:r>
    </w:p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163"/>
        <w:gridCol w:w="2163"/>
        <w:gridCol w:w="2163"/>
        <w:gridCol w:w="2163"/>
        <w:gridCol w:w="2163"/>
        <w:gridCol w:w="2163"/>
        <w:gridCol w:w="2163"/>
      </w:tblGrid>
      <w:tr>
        <w:tc>
          <w:tcPr>
            <w:tcW w:type="dxa" w:w="1984"/>
            <w:shd w:val="clear" w:color="auto" w:fill="D9E1F2"/>
          </w:tcPr>
          <w:p>
            <w:pPr>
              <w:jc w:val="center"/>
            </w:pPr>
            <w:r/>
            <w:r>
              <w:rPr>
                <w:b/>
                <w:i w:val="0"/>
                <w:sz w:val="16"/>
              </w:rPr>
              <w:t>Denumirea serviciilor</w:t>
              <w:br/>
              <w:t>(col. 1)</w:t>
            </w:r>
          </w:p>
        </w:tc>
        <w:tc>
          <w:tcPr>
            <w:tcW w:type="dxa" w:w="1984"/>
            <w:shd w:val="clear" w:color="auto" w:fill="D9E1F2"/>
          </w:tcPr>
          <w:p>
            <w:pPr>
              <w:jc w:val="center"/>
            </w:pPr>
            <w:r/>
            <w:r>
              <w:rPr>
                <w:b/>
                <w:i w:val="0"/>
                <w:sz w:val="16"/>
              </w:rPr>
              <w:t>Denumirea modelului propus</w:t>
              <w:br/>
              <w:t>(col. 2)*</w:t>
            </w:r>
          </w:p>
        </w:tc>
        <w:tc>
          <w:tcPr>
            <w:tcW w:type="dxa" w:w="1134"/>
            <w:shd w:val="clear" w:color="auto" w:fill="D9E1F2"/>
          </w:tcPr>
          <w:p>
            <w:pPr>
              <w:jc w:val="center"/>
            </w:pPr>
            <w:r/>
            <w:r>
              <w:rPr>
                <w:b/>
                <w:i w:val="0"/>
                <w:sz w:val="16"/>
              </w:rPr>
              <w:t>Țara de origine</w:t>
              <w:br/>
              <w:t>(col. 3)*</w:t>
            </w:r>
          </w:p>
        </w:tc>
        <w:tc>
          <w:tcPr>
            <w:tcW w:type="dxa" w:w="1417"/>
            <w:shd w:val="clear" w:color="auto" w:fill="D9E1F2"/>
          </w:tcPr>
          <w:p>
            <w:pPr>
              <w:jc w:val="center"/>
            </w:pPr>
            <w:r/>
            <w:r>
              <w:rPr>
                <w:b/>
                <w:i w:val="0"/>
                <w:sz w:val="16"/>
              </w:rPr>
              <w:t>Producătorul</w:t>
              <w:br/>
              <w:t>(col. 4)*</w:t>
            </w:r>
          </w:p>
        </w:tc>
        <w:tc>
          <w:tcPr>
            <w:tcW w:type="dxa" w:w="4252"/>
            <w:shd w:val="clear" w:color="auto" w:fill="D9E1F2"/>
          </w:tcPr>
          <w:p>
            <w:pPr>
              <w:jc w:val="center"/>
            </w:pPr>
            <w:r/>
            <w:r>
              <w:rPr>
                <w:b/>
                <w:i w:val="0"/>
                <w:sz w:val="16"/>
              </w:rPr>
              <w:t>Specificarea tehnică deplină solicitată de autoritatea contractantă</w:t>
              <w:br/>
              <w:t>(col. 5)</w:t>
            </w:r>
          </w:p>
        </w:tc>
        <w:tc>
          <w:tcPr>
            <w:tcW w:type="dxa" w:w="3118"/>
            <w:shd w:val="clear" w:color="auto" w:fill="D9E1F2"/>
          </w:tcPr>
          <w:p>
            <w:pPr>
              <w:jc w:val="center"/>
            </w:pPr>
            <w:r/>
            <w:r>
              <w:rPr>
                <w:b/>
                <w:i w:val="0"/>
                <w:sz w:val="16"/>
              </w:rPr>
              <w:t>Specificarea tehnică deplină propusă de ofertant</w:t>
              <w:br/>
              <w:t>(col. 6)*</w:t>
            </w:r>
          </w:p>
        </w:tc>
        <w:tc>
          <w:tcPr>
            <w:tcW w:type="dxa" w:w="1417"/>
            <w:shd w:val="clear" w:color="auto" w:fill="D9E1F2"/>
          </w:tcPr>
          <w:p>
            <w:pPr>
              <w:jc w:val="center"/>
            </w:pPr>
            <w:r/>
            <w:r>
              <w:rPr>
                <w:b/>
                <w:i w:val="0"/>
                <w:sz w:val="16"/>
              </w:rPr>
              <w:t>Standarde de referință</w:t>
              <w:br/>
              <w:t>(col. 7)</w:t>
            </w:r>
          </w:p>
        </w:tc>
      </w:tr>
      <w:tr>
        <w:tc>
          <w:tcPr>
            <w:tcW w:type="dxa" w:w="2163"/>
            <w:shd w:val="clear" w:color="auto" w:fill="D9E1F2"/>
          </w:tcPr>
          <w:p>
            <w:pPr>
              <w:jc w:val="center"/>
            </w:pPr>
            <w:r/>
            <w:r>
              <w:rPr>
                <w:b/>
                <w:i w:val="0"/>
                <w:sz w:val="16"/>
              </w:rPr>
              <w:t>1</w:t>
            </w:r>
          </w:p>
        </w:tc>
        <w:tc>
          <w:tcPr>
            <w:tcW w:type="dxa" w:w="2163"/>
            <w:shd w:val="clear" w:color="auto" w:fill="D9E1F2"/>
          </w:tcPr>
          <w:p>
            <w:pPr>
              <w:jc w:val="center"/>
            </w:pPr>
            <w:r/>
            <w:r>
              <w:rPr>
                <w:b/>
                <w:i w:val="0"/>
                <w:sz w:val="16"/>
              </w:rPr>
              <w:t>2</w:t>
            </w:r>
          </w:p>
        </w:tc>
        <w:tc>
          <w:tcPr>
            <w:tcW w:type="dxa" w:w="2163"/>
            <w:shd w:val="clear" w:color="auto" w:fill="D9E1F2"/>
          </w:tcPr>
          <w:p>
            <w:pPr>
              <w:jc w:val="center"/>
            </w:pPr>
            <w:r/>
            <w:r>
              <w:rPr>
                <w:b/>
                <w:i w:val="0"/>
                <w:sz w:val="16"/>
              </w:rPr>
              <w:t>3</w:t>
            </w:r>
          </w:p>
        </w:tc>
        <w:tc>
          <w:tcPr>
            <w:tcW w:type="dxa" w:w="2163"/>
            <w:shd w:val="clear" w:color="auto" w:fill="D9E1F2"/>
          </w:tcPr>
          <w:p>
            <w:pPr>
              <w:jc w:val="center"/>
            </w:pPr>
            <w:r/>
            <w:r>
              <w:rPr>
                <w:b/>
                <w:i w:val="0"/>
                <w:sz w:val="16"/>
              </w:rPr>
              <w:t>4</w:t>
            </w:r>
          </w:p>
        </w:tc>
        <w:tc>
          <w:tcPr>
            <w:tcW w:type="dxa" w:w="2163"/>
            <w:shd w:val="clear" w:color="auto" w:fill="D9E1F2"/>
          </w:tcPr>
          <w:p>
            <w:pPr>
              <w:jc w:val="center"/>
            </w:pPr>
            <w:r/>
            <w:r>
              <w:rPr>
                <w:b/>
                <w:i w:val="0"/>
                <w:sz w:val="16"/>
              </w:rPr>
              <w:t>5</w:t>
            </w:r>
          </w:p>
        </w:tc>
        <w:tc>
          <w:tcPr>
            <w:tcW w:type="dxa" w:w="2163"/>
            <w:shd w:val="clear" w:color="auto" w:fill="D9E1F2"/>
          </w:tcPr>
          <w:p>
            <w:pPr>
              <w:jc w:val="center"/>
            </w:pPr>
            <w:r/>
            <w:r>
              <w:rPr>
                <w:b/>
                <w:i w:val="0"/>
                <w:sz w:val="16"/>
              </w:rPr>
              <w:t>6</w:t>
            </w:r>
          </w:p>
        </w:tc>
        <w:tc>
          <w:tcPr>
            <w:tcW w:type="dxa" w:w="2163"/>
            <w:shd w:val="clear" w:color="auto" w:fill="D9E1F2"/>
          </w:tcPr>
          <w:p>
            <w:pPr>
              <w:jc w:val="center"/>
            </w:pPr>
            <w:r/>
            <w:r>
              <w:rPr>
                <w:b/>
                <w:i w:val="0"/>
                <w:sz w:val="16"/>
              </w:rPr>
              <w:t>7</w:t>
            </w:r>
          </w:p>
        </w:tc>
      </w:tr>
      <w:tr>
        <w:tc>
          <w:tcPr>
            <w:tcW w:type="dxa" w:w="2163"/>
          </w:tcPr>
          <w:p>
            <w:r/>
            <w:r>
              <w:rPr>
                <w:b w:val="0"/>
                <w:i w:val="0"/>
                <w:sz w:val="16"/>
              </w:rPr>
              <w:t>Servicii de consultanță – elaborarea studiului de fezabilitate a reabilitării râului Camenca</w:t>
              <w:br/>
              <w:t>CPV: 71241000-9</w:t>
              <w:br/>
              <w:t>Cantitate: 1 serviciu</w:t>
            </w:r>
          </w:p>
        </w:tc>
        <w:tc>
          <w:tcPr>
            <w:tcW w:type="dxa" w:w="2163"/>
          </w:tcPr>
          <w:p>
            <w:r/>
            <w:r>
              <w:rPr>
                <w:b w:val="0"/>
                <w:i w:val="0"/>
                <w:sz w:val="16"/>
              </w:rPr>
            </w:r>
          </w:p>
        </w:tc>
        <w:tc>
          <w:tcPr>
            <w:tcW w:type="dxa" w:w="2163"/>
          </w:tcPr>
          <w:p>
            <w:r/>
            <w:r>
              <w:rPr>
                <w:b w:val="0"/>
                <w:i w:val="0"/>
                <w:sz w:val="16"/>
              </w:rPr>
            </w:r>
          </w:p>
        </w:tc>
        <w:tc>
          <w:tcPr>
            <w:tcW w:type="dxa" w:w="2163"/>
          </w:tcPr>
          <w:p>
            <w:r/>
            <w:r>
              <w:rPr>
                <w:b w:val="0"/>
                <w:i w:val="0"/>
                <w:sz w:val="16"/>
              </w:rPr>
            </w:r>
          </w:p>
        </w:tc>
        <w:tc>
          <w:tcPr>
            <w:tcW w:type="dxa" w:w="2163"/>
          </w:tcPr>
          <w:p>
            <w:r/>
            <w:r>
              <w:rPr>
                <w:sz w:val="15"/>
              </w:rPr>
              <w:t>Studiu de fezabilitate privind restaurarea hidrologică și ecologică a râului Camenca (sectorul Balatina, r. Glodeni – Pruteni, r. Fălești, cca 45 km), conform pct. 3–11 din Caietul de Sarcini (TOR), incluzând:</w:t>
              <w:br/>
              <w:br/>
              <w:t>1. Raport de inițiere (metodologie + plan de lucru Gantt) – săpt. 2 de la semnarea contractului;</w:t>
              <w:br/>
              <w:t>2. Raport 1-a consultație publică – săpt. 6;</w:t>
              <w:br/>
              <w:t>3. Draft Studiu de Fezabilitate (min. 2 scenarii tehnico-economice alternative, modelare hidrologică/hidraulică, evaluare impact biodiversitate/habitate/servicii ecosistemice, evaluare infrastructură hidrotehnică existentă, analiză cost-beneficiu, evaluare aspecte sociale) – luna 5;</w:t>
              <w:br/>
              <w:t>4. Raport 2-a consultație publică;</w:t>
              <w:br/>
              <w:t>5. Raportul Final SF (incluzând scenariul tehnico-economic optim recomandat) – luna 6.</w:t>
              <w:br/>
              <w:br/>
              <w:t>Durata prestării: 6 luni calendaristice de la data semnării contractului.</w:t>
              <w:br/>
              <w:t>Conținut-cadru SF: conform Anexei 1 din TOR.</w:t>
              <w:br/>
              <w:t>Procesul de elaborare va respecta UNDP SES și va include min. 2 runde de consultări publice cu APL, Comitetul de sub-bazin Camenca și alți factori interesați.</w:t>
            </w:r>
          </w:p>
        </w:tc>
        <w:tc>
          <w:tcPr>
            <w:tcW w:type="dxa" w:w="2163"/>
          </w:tcPr>
          <w:p>
            <w:r/>
            <w:r>
              <w:rPr>
                <w:b w:val="0"/>
                <w:i w:val="0"/>
                <w:sz w:val="16"/>
              </w:rPr>
            </w:r>
          </w:p>
        </w:tc>
        <w:tc>
          <w:tcPr>
            <w:tcW w:type="dxa" w:w="2163"/>
          </w:tcPr>
          <w:p>
            <w:r/>
            <w:r>
              <w:rPr>
                <w:sz w:val="15"/>
              </w:rPr>
              <w:t>• Directiva Cadru UE privind Apa 2000/60/CE;</w:t>
              <w:br/>
              <w:t>• Standardele Sociale și de Mediu UNDP (SES);</w:t>
              <w:br/>
              <w:t>• Legea apelor nr. 272/2011 (RM);</w:t>
              <w:br/>
              <w:t>• Legea privind ariile naturale protejate de stat nr. 1538/1998 (RM);</w:t>
              <w:br/>
              <w:t>• Normative tehnice naționale în domeniul hidrotehnică;</w:t>
              <w:br/>
              <w:t>• Directiva UE INSPIRE (infrastructura de date spațiale);</w:t>
              <w:br/>
              <w:t>• HG nr. 887/2020 privind documentațiile tehnico-economice.</w:t>
            </w:r>
          </w:p>
        </w:tc>
      </w:tr>
      <w:tr>
        <w:tc>
          <w:tcPr>
            <w:tcW w:type="dxa" w:w="15141"/>
            <w:gridSpan w:val="7"/>
          </w:tcPr>
          <w:p>
            <w:r/>
            <w:r>
              <w:rPr>
                <w:b w:val="0"/>
                <w:i w:val="0"/>
                <w:sz w:val="16"/>
              </w:rPr>
              <w:t>Semnat: _______________  Numele, Prenumele: _____________________________  În calitate de: ________________</w:t>
              <w:br/>
              <w:t>Ofertantul: _______________________  Adresa: __________________________</w:t>
            </w:r>
          </w:p>
        </w:tc>
      </w:tr>
    </w:tbl>
    <w:p/>
    <w:p>
      <w:r>
        <w:rPr>
          <w:sz w:val="16"/>
        </w:rPr>
        <w:t>* Coloanele 2, 3, 4 și 6 se completează de către ofertant.</w:t>
      </w:r>
    </w:p>
    <w:sectPr w:rsidR="00FC693F" w:rsidRPr="0006063C" w:rsidSect="00034616">
      <w:pgSz w:w="16838" w:h="11906" w:orient="landscape"/>
      <w:pgMar w:top="850" w:right="850" w:bottom="85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