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0010F" w:rsidRPr="008B47FF" w:rsidRDefault="00F0010F" w:rsidP="00F0010F">
      <w:pPr>
        <w:ind w:right="567"/>
        <w:jc w:val="center"/>
        <w:rPr>
          <w:b/>
          <w:bCs/>
          <w:sz w:val="28"/>
          <w:szCs w:val="28"/>
          <w:lang w:val="en-US"/>
        </w:rPr>
      </w:pPr>
      <w:r w:rsidRPr="008B47FF">
        <w:rPr>
          <w:b/>
          <w:bCs/>
          <w:sz w:val="28"/>
          <w:szCs w:val="28"/>
          <w:lang w:val="en-US"/>
        </w:rPr>
        <w:t>CAIET DE SARCINI</w:t>
      </w:r>
    </w:p>
    <w:p w:rsidR="00F0010F" w:rsidRPr="00CB1E8B" w:rsidRDefault="00F0010F" w:rsidP="00F0010F">
      <w:pPr>
        <w:ind w:right="567"/>
        <w:jc w:val="center"/>
        <w:rPr>
          <w:b/>
          <w:bCs/>
          <w:sz w:val="28"/>
          <w:szCs w:val="28"/>
          <w:lang w:val="en-US"/>
        </w:rPr>
      </w:pPr>
      <w:r w:rsidRPr="008B47FF">
        <w:rPr>
          <w:b/>
          <w:bCs/>
          <w:sz w:val="28"/>
          <w:szCs w:val="28"/>
          <w:lang w:val="en-US"/>
        </w:rPr>
        <w:t>PENTRU  CEREREA OFERTEI  DE  PREŢ</w:t>
      </w:r>
    </w:p>
    <w:p w:rsidR="00F0010F" w:rsidRPr="008B47FF" w:rsidRDefault="00F0010F" w:rsidP="00F0010F">
      <w:pPr>
        <w:ind w:right="567"/>
        <w:jc w:val="center"/>
        <w:rPr>
          <w:b/>
          <w:bCs/>
          <w:sz w:val="28"/>
          <w:szCs w:val="28"/>
          <w:lang w:val="en-US"/>
        </w:rPr>
      </w:pPr>
    </w:p>
    <w:p w:rsidR="00F0010F" w:rsidRPr="008B47FF" w:rsidRDefault="00F0010F" w:rsidP="00F0010F">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rsidR="00F0010F" w:rsidRPr="008B47FF" w:rsidRDefault="00F0010F" w:rsidP="00F0010F">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rsidR="00F0010F" w:rsidRPr="001F276C" w:rsidRDefault="00F0010F" w:rsidP="00F0010F">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Lucrari de reparatii la Liceul Teoretic D. Caracioban mun. Comrat</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0010F" w:rsidRPr="008B47FF" w:rsidTr="00AF5A50">
        <w:trPr>
          <w:cantSplit/>
          <w:trHeight w:val="592"/>
        </w:trPr>
        <w:tc>
          <w:tcPr>
            <w:tcW w:w="709" w:type="dxa"/>
            <w:tcBorders>
              <w:top w:val="single" w:sz="6" w:space="0" w:color="auto"/>
              <w:left w:val="single" w:sz="6" w:space="0" w:color="auto"/>
              <w:bottom w:val="nil"/>
              <w:right w:val="nil"/>
            </w:tcBorders>
            <w:shd w:val="pct5" w:color="auto" w:fill="auto"/>
          </w:tcPr>
          <w:p w:rsidR="00F0010F" w:rsidRPr="008B47FF" w:rsidRDefault="00F0010F" w:rsidP="00AF5A50">
            <w:pPr>
              <w:ind w:right="-108"/>
              <w:jc w:val="center"/>
              <w:rPr>
                <w:lang w:val="en-US"/>
              </w:rPr>
            </w:pPr>
            <w:r w:rsidRPr="008B47FF">
              <w:rPr>
                <w:sz w:val="22"/>
                <w:szCs w:val="22"/>
                <w:lang w:val="en-US"/>
              </w:rPr>
              <w:t>№</w:t>
            </w:r>
          </w:p>
          <w:p w:rsidR="00F0010F" w:rsidRPr="008B47FF" w:rsidRDefault="00F0010F" w:rsidP="00AF5A50">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F0010F" w:rsidRPr="008B47FF" w:rsidRDefault="00F0010F" w:rsidP="00AF5A50">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F0010F" w:rsidRPr="008B47FF" w:rsidRDefault="00F0010F" w:rsidP="00AF5A50">
            <w:pPr>
              <w:jc w:val="center"/>
            </w:pPr>
          </w:p>
          <w:p w:rsidR="00F0010F" w:rsidRPr="008B47FF" w:rsidRDefault="00F0010F" w:rsidP="00AF5A50">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F0010F" w:rsidRPr="008B47FF" w:rsidRDefault="00F0010F" w:rsidP="00AF5A50">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F0010F" w:rsidRPr="006D228E" w:rsidRDefault="00F0010F" w:rsidP="00AF5A50">
            <w:pPr>
              <w:jc w:val="center"/>
              <w:rPr>
                <w:lang w:val="en-US"/>
              </w:rPr>
            </w:pPr>
            <w:r w:rsidRPr="008B47FF">
              <w:rPr>
                <w:sz w:val="22"/>
                <w:szCs w:val="22"/>
                <w:lang w:val="en-US"/>
              </w:rPr>
              <w:t>Volum</w:t>
            </w:r>
          </w:p>
        </w:tc>
      </w:tr>
    </w:tbl>
    <w:p w:rsidR="00F0010F" w:rsidRPr="008B47FF" w:rsidRDefault="00F0010F" w:rsidP="00F0010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0010F" w:rsidRPr="008B47FF" w:rsidTr="00AF5A5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0010F" w:rsidRPr="00027881" w:rsidRDefault="00F0010F" w:rsidP="00AF5A50">
            <w:pPr>
              <w:jc w:val="center"/>
              <w:rPr>
                <w:lang w:val="en-US"/>
              </w:rPr>
            </w:pPr>
            <w:r w:rsidRPr="008B47FF">
              <w:rPr>
                <w:sz w:val="22"/>
                <w:szCs w:val="22"/>
                <w:lang w:val="en-US"/>
              </w:rPr>
              <w:t>5</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1. Коридор</w:t>
            </w:r>
          </w:p>
          <w:p w:rsidR="00F0010F" w:rsidRPr="00B40365" w:rsidRDefault="00F0010F" w:rsidP="00AF5A50">
            <w:pPr>
              <w:rPr>
                <w:lang w:val="en-US"/>
              </w:rPr>
            </w:pP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1.1. Стены</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RCsB15A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Spituirea suprafetelor de beton in vederea aderarii unui beton nou (Насечка бетонных поверхностей для сцепления с новым бетоном)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grundului cu "Betonocontact" intr-un strat, la pereti si tavane interioare  (Нанесение вручную грунтовки "Betonocontact"  в один слой на внутренние поверхности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Tencuieli interioare de 5 mm grosime, executate manual, cu amestec uscat pe baza de ipsos, la pereti si pereti despartitori, preparare manuala a mortarului. </w:t>
            </w:r>
            <w:r w:rsidRPr="001F6F13">
              <w:rPr>
                <w:lang w:val="ru-RU"/>
              </w:rPr>
              <w:t>(Внутренняя штукатурка стен  и перегородок толщиной 5 мм,  вручную сухой гипсовой смесью, с ручным приготовлением раствора)</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CF51B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Tencuieli interioare de 5 mm grosime, executate manual, cu amestec uscat pe baza de ipsos, la pereti si pereti despartitori, preparare manuala a mortarului. Diferenta in plus sau in miniu  pentru fiecare 1,0 mm (se adauga sau se scade la art. CF</w:t>
            </w:r>
            <w:r w:rsidRPr="001F6F13">
              <w:rPr>
                <w:lang w:val="ru-RU"/>
              </w:rPr>
              <w:t xml:space="preserve">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w:t>
            </w:r>
            <w:r w:rsidRPr="00B40365">
              <w:rPr>
                <w:lang w:val="en-US"/>
              </w:rPr>
              <w:t>CF</w:t>
            </w:r>
            <w:r w:rsidRPr="001F6F13">
              <w:rPr>
                <w:lang w:val="ru-RU"/>
              </w:rPr>
              <w:t>50) к=5</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CF17C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CF57A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269,0000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1.2. Откосы</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RCsB09A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Inlaturarea, prin cioplire, a proeminentilor sau a stratului de beton superficial (Устранение выступов или поверхностного бетонного слоя путем стесывания)</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39,0000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CG09A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Plinte din PVC, montate orizontal la pereti gata tencuiti, prin lipire cu adeziv Prenadez, in incaperi cu suprafete mai mari de 16 mp (Плинтуса из ПВХ,  наклеенные горизонтально к оштукатуренным стенам, в помещениях площадью более 16 м2) </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CI17A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Placare cu panouri fibrolemnoase, usoare, moi (alcatuite din fibre lemnoase din lemn de pin liate cu lignina), cu o fata din tapet textil din fibre naturale si sintetice (amestec de bumbac, in, viscoza si fibre poliesterice), sau tapet de hirtie, destinate placarilor interioare la pereti </w:t>
            </w:r>
            <w:r w:rsidRPr="00B40365">
              <w:rPr>
                <w:lang w:val="en-US"/>
              </w:rPr>
              <w:lastRenderedPageBreak/>
              <w:t xml:space="preserve">si tavane in incaperi cu umiditate normala, montate prin lipire pe suporti plane (din lemn, metal, mort de ciment, placi ceramice), ce trebuiesc renovate (Облицовка легкими и мягкими плитами ДВП, с лицевой поверхностью из натурального или искусственного шпона или бумажных обоев стен и потолков, в помещениях с нормальной влажностью, приклееными к ровному основанию </w:t>
            </w:r>
            <w:r w:rsidRPr="001F6F13">
              <w:rPr>
                <w:lang w:val="ru-RU"/>
              </w:rPr>
              <w:t>(из дерева, металла, цементного раствора, керамических плит), которому необходимо  обновление)</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35,0000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14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CK29F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Tavane suspendate din panouri prefabricate "Armstrong", inclusiv sistemul-grila (Подвесные потолки из плиток "Армстронг", включая комплектующие)</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5,4000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RCsB15A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Spituirea suprafetelor de beton in vederea aderarii unui beton nou (Насечка бетонных поверхностей для сцепления с новым бетоном)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grundului cu "Betonocontact" intr-un strat, la pereti si tavane interioare  (Нанесение вручную грунтовки "Betonocontact"  в один слой на внутренние поверхности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CK26B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Corniere din aluminiu - Малярные уголки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190,0000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Tencuieli interioare de 5 mm grosime, executate manual, cu amestec uscat pe baza de ipsos, la pereti si pereti despartitori, preparare manuala a mortarului. </w:t>
            </w:r>
            <w:r w:rsidRPr="001F6F13">
              <w:rPr>
                <w:lang w:val="ru-RU"/>
              </w:rPr>
              <w:t>(Внутренняя штукатурка стен  и перегородок толщиной 5 мм,  вручную сухой гипсовой смесью, с ручным приготовлением раствора)</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CF17C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21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CF57A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31,2000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2. Лестничная клетка</w:t>
            </w:r>
          </w:p>
          <w:p w:rsidR="00F0010F" w:rsidRPr="00B40365" w:rsidRDefault="00F0010F" w:rsidP="00AF5A50">
            <w:pPr>
              <w:rPr>
                <w:lang w:val="en-US"/>
              </w:rPr>
            </w:pP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2.1. Стены</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RCsB15A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Spituirea suprafetelor de beton in vederea aderarii unui beton nou (Насечка бетонных поверхностей для сцепления с новым бетоном)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grundului cu "Betonocontact" intr-un strat, la pereti si tavane interioare  (Нанесение вручную грунтовки "Betonocontact"  в один слой на внутренние поверхности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Tencuieli interioare de 5 mm grosime, executate manual, cu amestec uscat pe baza de ipsos, la pereti si pereti despartitori, preparare manuala a mortarului. </w:t>
            </w:r>
            <w:r w:rsidRPr="001F6F13">
              <w:rPr>
                <w:lang w:val="ru-RU"/>
              </w:rPr>
              <w:t>(Внутренняя штукатурка стен  и перегородок толщиной 5 мм,  вручную сухой гипсовой смесью, с ручным приготовлением раствора)</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CF51B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Tencuieli interioare de 5 mm grosime, executate manual, cu amestec uscat pe baza de ipsos, la pereti si pereti despartitori, preparare manuala a mortarului. Diferenta in plus sau in miniu  pentru fiecare 1,0 mm (se </w:t>
            </w:r>
            <w:r w:rsidRPr="00B40365">
              <w:rPr>
                <w:lang w:val="en-US"/>
              </w:rPr>
              <w:lastRenderedPageBreak/>
              <w:t>adauga sau se scade la art. CF</w:t>
            </w:r>
            <w:r w:rsidRPr="001F6F13">
              <w:rPr>
                <w:lang w:val="ru-RU"/>
              </w:rPr>
              <w:t xml:space="preserve">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w:t>
            </w:r>
            <w:r w:rsidRPr="00B40365">
              <w:rPr>
                <w:lang w:val="en-US"/>
              </w:rPr>
              <w:t>CF</w:t>
            </w:r>
            <w:r w:rsidRPr="001F6F13">
              <w:rPr>
                <w:lang w:val="ru-RU"/>
              </w:rPr>
              <w:t>50) к=5</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29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CF17C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CF57A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CB14C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Schela metalica tubulara pentru lucrari de finisaje la tavane la inaltimi pina la 7 m, cu imobilizarea schelei timp de 15 zile (120 ore) (Леса металлические трубчатые, для работ по отделке потолков высотой до 7м включительно, используемые 15 дней (120 часов))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2.2. Откосы</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RCsB15A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Spituirea suprafetelor de beton in vederea aderarii unui beton nou (Насечка бетонных поверхностей для сцепления с новым бетоном)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grundului cu "Betonocontact" intr-un strat, la pereti si tavane interioare  (Нанесение вручную грунтовки "Betonocontact"  в один слой на внутренние поверхности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CK26B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Corniere din aluminiu - Малярные уголки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70,0000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1F6F13" w:rsidRDefault="00F0010F" w:rsidP="00AF5A50">
            <w:pPr>
              <w:rPr>
                <w:lang w:val="ru-RU"/>
              </w:rPr>
            </w:pPr>
            <w:r w:rsidRPr="00B40365">
              <w:rPr>
                <w:lang w:val="en-US"/>
              </w:rPr>
              <w:t xml:space="preserve">Tencuieli interioare de 5 mm grosime, executate manual, cu amestec uscat pe baza de ipsos, la pereti si pereti despartitori, preparare manuala a mortarului. </w:t>
            </w:r>
            <w:r w:rsidRPr="001F6F13">
              <w:rPr>
                <w:lang w:val="ru-RU"/>
              </w:rPr>
              <w:t>(Внутренняя штукатурка стен  и перегородок толщиной 5 мм,  вручную сухой гипсовой смесью, с ручным приготовлением раствора)</w:t>
            </w:r>
          </w:p>
          <w:p w:rsidR="00F0010F" w:rsidRPr="001F6F13" w:rsidRDefault="00F0010F" w:rsidP="00AF5A50">
            <w:pPr>
              <w:rPr>
                <w:lang w:val="ru-RU"/>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CF17C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Diverse lucrari - strat de impaslitura din fibra de sticla aplicat pe suprafata elementelor prefabricate din b.c.a. lipit cu aracet, inclusiv stratul de amorsaj (Разные работы - слой сетки из стекловолокна, применяемый на поверхностях сборных элементов из b.c.a., приклееный клеем, включая слой заливки)</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CF57A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chitului pe baza de ipsos "Eurofin" grosime 1,0 mm pe suprafetele  peretilor,  coloanelor  si  tavanelor (Нанесение вручную шпатлёвки на основе гипса "Eurofin" на поверхность стен,  колонн и потолков, толщиной 1,0 мм)</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Grunduirea suprafetelor interioare a peretilor si tavanelor (Грунтовка внутренних поверхностей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45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16,9000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RpEA01A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Montarea tuburilor de protectie din policlorura de vinil PVC tip IP-PVC, cu diametrul pina la 16 mm, montat aparent fixate direct pe ziduri (Прокладка защитных труб (футляров) ПВХ, диаметром до 16 мм, снаружи с фиксацией прямо на стены)</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2.3. Потолок</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CN54A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Aplicarea manuala a grundului cu "Betonocontact" intr-un strat, la pereti si tavane interioare  (Нанесение вручную грунтовки "Betonocontact"  в один слой на внутренние поверхности стен и потолков)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interioare cu vopsea pe baza de copolimeri vinilici in emulsie apoasa,  aplicate in 2 straturi pe glet existent, executate manual (Внутренняя окраска полимеро-виниловыми водоэмульсионными красками существующей отделанной поверхности, в 2 слоя, вручную)</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CN16D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Vopsitorii cu lacuri si vopsele pe baza de ulei aplicate pe timplarie din lemn, executate cu 2 straturi de vopsea de email la dusumele (Окраска деревянных изделий в 2 слоя маслянной эмалью, дощатых полов)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15,0000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CB14C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Schela metalica tubulara pentru lucrari de finisaje la tavane la inaltimi pina la 7 m, cu imobilizarea schelei timp de 15 zile (120 ore) (Леса металлические трубчатые, для работ по отделке потолков высотой до 7м включительно, используемые 15 дней (120 часов))</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23,0000</w:t>
            </w:r>
          </w:p>
        </w:tc>
      </w:tr>
    </w:tbl>
    <w:p w:rsidR="00F0010F" w:rsidRDefault="00F0010F" w:rsidP="00F0010F"/>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Default="00F0010F" w:rsidP="00F0010F">
      <w:pPr>
        <w:tabs>
          <w:tab w:val="left" w:leader="underscore" w:pos="6465"/>
          <w:tab w:val="right" w:leader="underscore" w:pos="9777"/>
        </w:tabs>
        <w:spacing w:line="302" w:lineRule="auto"/>
        <w:rPr>
          <w:rFonts w:eastAsia="PMingLiU"/>
          <w:lang w:val="ru-RU" w:eastAsia="zh-CN"/>
        </w:rPr>
      </w:pPr>
    </w:p>
    <w:p w:rsidR="00F0010F" w:rsidRPr="008B47FF" w:rsidRDefault="00F0010F" w:rsidP="00F0010F">
      <w:pPr>
        <w:ind w:right="567"/>
        <w:jc w:val="center"/>
        <w:rPr>
          <w:b/>
          <w:bCs/>
          <w:sz w:val="28"/>
          <w:szCs w:val="28"/>
          <w:lang w:val="en-US"/>
        </w:rPr>
      </w:pPr>
      <w:bookmarkStart w:id="0" w:name="_GoBack"/>
      <w:r w:rsidRPr="008B47FF">
        <w:rPr>
          <w:b/>
          <w:bCs/>
          <w:sz w:val="28"/>
          <w:szCs w:val="28"/>
          <w:lang w:val="en-US"/>
        </w:rPr>
        <w:t>CAIET DE SARCINI</w:t>
      </w:r>
    </w:p>
    <w:p w:rsidR="00F0010F" w:rsidRPr="00CB1E8B" w:rsidRDefault="00F0010F" w:rsidP="00F0010F">
      <w:pPr>
        <w:ind w:right="567"/>
        <w:jc w:val="center"/>
        <w:rPr>
          <w:b/>
          <w:bCs/>
          <w:sz w:val="28"/>
          <w:szCs w:val="28"/>
          <w:lang w:val="en-US"/>
        </w:rPr>
      </w:pPr>
      <w:r w:rsidRPr="008B47FF">
        <w:rPr>
          <w:b/>
          <w:bCs/>
          <w:sz w:val="28"/>
          <w:szCs w:val="28"/>
          <w:lang w:val="en-US"/>
        </w:rPr>
        <w:t>PENTRU  CEREREA OFERTEI  DE  PREŢ</w:t>
      </w:r>
    </w:p>
    <w:p w:rsidR="00F0010F" w:rsidRPr="008B47FF" w:rsidRDefault="00F0010F" w:rsidP="00F0010F">
      <w:pPr>
        <w:ind w:right="567"/>
        <w:jc w:val="center"/>
        <w:rPr>
          <w:b/>
          <w:bCs/>
          <w:sz w:val="28"/>
          <w:szCs w:val="28"/>
          <w:lang w:val="en-US"/>
        </w:rPr>
      </w:pPr>
    </w:p>
    <w:p w:rsidR="00F0010F" w:rsidRPr="008B47FF" w:rsidRDefault="00F0010F" w:rsidP="00F0010F">
      <w:pPr>
        <w:ind w:right="567"/>
        <w:rPr>
          <w:sz w:val="28"/>
          <w:szCs w:val="28"/>
          <w:lang w:val="en-US"/>
        </w:rPr>
      </w:pPr>
      <w:r w:rsidRPr="002C2F63">
        <w:rPr>
          <w:b/>
          <w:bCs/>
          <w:lang w:val="en-US"/>
        </w:rPr>
        <w:t>1. Denumerea beneficiarului de stat</w:t>
      </w:r>
      <w:r w:rsidRPr="008B47FF">
        <w:rPr>
          <w:b/>
          <w:bCs/>
          <w:sz w:val="28"/>
          <w:szCs w:val="28"/>
          <w:lang w:val="en-US"/>
        </w:rPr>
        <w:t xml:space="preserve">   </w:t>
      </w:r>
    </w:p>
    <w:p w:rsidR="00F0010F" w:rsidRPr="008B47FF" w:rsidRDefault="00F0010F" w:rsidP="00F0010F">
      <w:pPr>
        <w:ind w:right="567"/>
        <w:rPr>
          <w:sz w:val="28"/>
          <w:szCs w:val="28"/>
          <w:lang w:val="en-US"/>
        </w:rPr>
      </w:pPr>
      <w:r w:rsidRPr="002C2F63">
        <w:rPr>
          <w:b/>
          <w:bCs/>
          <w:lang w:val="en-US"/>
        </w:rPr>
        <w:t>2. Organizatorul procedurii de achizi</w:t>
      </w:r>
      <w:r w:rsidRPr="008B47FF">
        <w:rPr>
          <w:b/>
          <w:bCs/>
        </w:rPr>
        <w:t>ţ</w:t>
      </w:r>
      <w:r w:rsidRPr="002C2F63">
        <w:rPr>
          <w:b/>
          <w:bCs/>
          <w:lang w:val="en-US"/>
        </w:rPr>
        <w:t>ie</w:t>
      </w:r>
      <w:r w:rsidRPr="008B47FF">
        <w:rPr>
          <w:sz w:val="28"/>
          <w:szCs w:val="28"/>
          <w:lang w:val="en-US"/>
        </w:rPr>
        <w:t xml:space="preserve"> </w:t>
      </w:r>
    </w:p>
    <w:p w:rsidR="00F0010F" w:rsidRPr="001F276C" w:rsidRDefault="00F0010F" w:rsidP="00F0010F">
      <w:pPr>
        <w:ind w:right="567"/>
        <w:rPr>
          <w:b/>
          <w:bCs/>
          <w:sz w:val="28"/>
          <w:szCs w:val="28"/>
          <w:lang w:val="en-US"/>
        </w:rPr>
      </w:pPr>
      <w:r w:rsidRPr="002C2F63">
        <w:rPr>
          <w:b/>
          <w:bCs/>
          <w:lang w:val="en-US"/>
        </w:rPr>
        <w:t>3. Obiectul ach</w:t>
      </w:r>
      <w:r w:rsidRPr="008B47FF">
        <w:rPr>
          <w:b/>
          <w:bCs/>
          <w:lang w:val="en-US"/>
        </w:rPr>
        <w:t>i</w:t>
      </w:r>
      <w:r w:rsidRPr="002C2F63">
        <w:rPr>
          <w:b/>
          <w:bCs/>
          <w:lang w:val="en-US"/>
        </w:rPr>
        <w:t>zi</w:t>
      </w:r>
      <w:r w:rsidRPr="008B47FF">
        <w:rPr>
          <w:b/>
          <w:bCs/>
          <w:lang w:val="en-US"/>
        </w:rPr>
        <w:t>ţ</w:t>
      </w:r>
      <w:r w:rsidRPr="002C2F63">
        <w:rPr>
          <w:b/>
          <w:bCs/>
          <w:lang w:val="en-US"/>
        </w:rPr>
        <w:t>iilor</w:t>
      </w:r>
      <w:r w:rsidRPr="008B47FF">
        <w:rPr>
          <w:sz w:val="28"/>
          <w:szCs w:val="28"/>
          <w:lang w:val="en-US"/>
        </w:rPr>
        <w:t xml:space="preserve">  </w:t>
      </w:r>
      <w:r w:rsidRPr="00FA1801">
        <w:rPr>
          <w:b/>
          <w:bCs/>
          <w:sz w:val="28"/>
          <w:szCs w:val="28"/>
          <w:u w:val="single"/>
          <w:lang w:val="en-US"/>
        </w:rPr>
        <w:t>Reparatia sistemului de incalzire la Liceul Teoretic D. Karacioban, mun Comrat</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0010F" w:rsidRPr="008B47FF" w:rsidTr="00AF5A50">
        <w:trPr>
          <w:cantSplit/>
          <w:trHeight w:val="592"/>
        </w:trPr>
        <w:tc>
          <w:tcPr>
            <w:tcW w:w="709" w:type="dxa"/>
            <w:tcBorders>
              <w:top w:val="single" w:sz="6" w:space="0" w:color="auto"/>
              <w:left w:val="single" w:sz="6" w:space="0" w:color="auto"/>
              <w:bottom w:val="nil"/>
              <w:right w:val="nil"/>
            </w:tcBorders>
            <w:shd w:val="pct5" w:color="auto" w:fill="auto"/>
          </w:tcPr>
          <w:p w:rsidR="00F0010F" w:rsidRPr="008B47FF" w:rsidRDefault="00F0010F" w:rsidP="00AF5A50">
            <w:pPr>
              <w:ind w:right="-108"/>
              <w:jc w:val="center"/>
              <w:rPr>
                <w:lang w:val="en-US"/>
              </w:rPr>
            </w:pPr>
            <w:r w:rsidRPr="008B47FF">
              <w:rPr>
                <w:sz w:val="22"/>
                <w:szCs w:val="22"/>
                <w:lang w:val="en-US"/>
              </w:rPr>
              <w:t>№</w:t>
            </w:r>
          </w:p>
          <w:p w:rsidR="00F0010F" w:rsidRPr="008B47FF" w:rsidRDefault="00F0010F" w:rsidP="00AF5A50">
            <w:pPr>
              <w:ind w:right="-108"/>
              <w:jc w:val="center"/>
              <w:rPr>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shd w:val="pct5" w:color="auto" w:fill="auto"/>
          </w:tcPr>
          <w:p w:rsidR="00F0010F" w:rsidRPr="008B47FF" w:rsidRDefault="00F0010F" w:rsidP="00AF5A50">
            <w:pPr>
              <w:ind w:left="-120" w:right="-108"/>
              <w:jc w:val="center"/>
              <w:rPr>
                <w:lang w:val="en-US"/>
              </w:rPr>
            </w:pPr>
            <w:r w:rsidRPr="008B47FF">
              <w:rPr>
                <w:sz w:val="22"/>
                <w:szCs w:val="22"/>
              </w:rPr>
              <w:t>Simbol</w:t>
            </w:r>
            <w:r w:rsidRPr="008B47FF">
              <w:rPr>
                <w:sz w:val="22"/>
                <w:szCs w:val="22"/>
                <w:lang w:val="en-US"/>
              </w:rPr>
              <w:t xml:space="preserve"> </w:t>
            </w:r>
            <w:r w:rsidRPr="008B47FF">
              <w:rPr>
                <w:sz w:val="22"/>
                <w:szCs w:val="22"/>
              </w:rPr>
              <w:t>norme</w:t>
            </w:r>
            <w:r w:rsidRPr="008B47FF">
              <w:rPr>
                <w:sz w:val="22"/>
                <w:szCs w:val="22"/>
                <w:lang w:val="en-US"/>
              </w:rPr>
              <w:t xml:space="preserve"> </w:t>
            </w:r>
            <w:r w:rsidRPr="008B47FF">
              <w:rPr>
                <w:sz w:val="22"/>
                <w:szCs w:val="22"/>
              </w:rPr>
              <w:t xml:space="preserve">şi Cod </w:t>
            </w:r>
            <w:r w:rsidRPr="008B47FF">
              <w:rPr>
                <w:sz w:val="22"/>
                <w:szCs w:val="22"/>
                <w:lang w:val="en-US"/>
              </w:rPr>
              <w:t xml:space="preserve"> </w:t>
            </w:r>
            <w:r w:rsidRPr="008B47FF">
              <w:rPr>
                <w:sz w:val="22"/>
                <w:szCs w:val="22"/>
              </w:rPr>
              <w:t xml:space="preserve">resurse  </w:t>
            </w:r>
          </w:p>
        </w:tc>
        <w:tc>
          <w:tcPr>
            <w:tcW w:w="4678" w:type="dxa"/>
            <w:tcBorders>
              <w:top w:val="single" w:sz="6" w:space="0" w:color="auto"/>
              <w:left w:val="single" w:sz="6" w:space="0" w:color="auto"/>
              <w:bottom w:val="nil"/>
              <w:right w:val="nil"/>
            </w:tcBorders>
            <w:shd w:val="pct5" w:color="auto" w:fill="auto"/>
          </w:tcPr>
          <w:p w:rsidR="00F0010F" w:rsidRPr="008B47FF" w:rsidRDefault="00F0010F" w:rsidP="00AF5A50">
            <w:pPr>
              <w:jc w:val="center"/>
            </w:pPr>
          </w:p>
          <w:p w:rsidR="00F0010F" w:rsidRPr="008B47FF" w:rsidRDefault="00F0010F" w:rsidP="00AF5A50">
            <w:pPr>
              <w:jc w:val="center"/>
              <w:rPr>
                <w:lang w:val="en-US"/>
              </w:rPr>
            </w:pPr>
            <w:r w:rsidRPr="008B47FF">
              <w:rPr>
                <w:sz w:val="22"/>
                <w:szCs w:val="22"/>
              </w:rPr>
              <w:t xml:space="preserve">Denumire lucrărilor    </w:t>
            </w:r>
          </w:p>
        </w:tc>
        <w:tc>
          <w:tcPr>
            <w:tcW w:w="992" w:type="dxa"/>
            <w:tcBorders>
              <w:top w:val="single" w:sz="6" w:space="0" w:color="auto"/>
              <w:left w:val="single" w:sz="6" w:space="0" w:color="auto"/>
              <w:bottom w:val="nil"/>
              <w:right w:val="nil"/>
            </w:tcBorders>
            <w:shd w:val="pct5" w:color="auto" w:fill="auto"/>
          </w:tcPr>
          <w:p w:rsidR="00F0010F" w:rsidRPr="008B47FF" w:rsidRDefault="00F0010F" w:rsidP="00AF5A50">
            <w:pPr>
              <w:ind w:left="-108" w:right="-108"/>
              <w:jc w:val="center"/>
              <w:rPr>
                <w:lang w:val="en-US"/>
              </w:rPr>
            </w:pPr>
            <w:r w:rsidRPr="008B47FF">
              <w:rPr>
                <w:sz w:val="22"/>
                <w:szCs w:val="22"/>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shd w:val="pct5" w:color="auto" w:fill="auto"/>
          </w:tcPr>
          <w:p w:rsidR="00F0010F" w:rsidRPr="006D228E" w:rsidRDefault="00F0010F" w:rsidP="00AF5A50">
            <w:pPr>
              <w:jc w:val="center"/>
              <w:rPr>
                <w:lang w:val="en-US"/>
              </w:rPr>
            </w:pPr>
            <w:r w:rsidRPr="008B47FF">
              <w:rPr>
                <w:sz w:val="22"/>
                <w:szCs w:val="22"/>
                <w:lang w:val="en-US"/>
              </w:rPr>
              <w:t>Volum</w:t>
            </w:r>
          </w:p>
        </w:tc>
      </w:tr>
    </w:tbl>
    <w:p w:rsidR="00F0010F" w:rsidRPr="008B47FF" w:rsidRDefault="00F0010F" w:rsidP="00F0010F">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F0010F" w:rsidRPr="008B47FF" w:rsidTr="00AF5A50">
        <w:trPr>
          <w:cantSplit/>
          <w:tblHeader/>
        </w:trPr>
        <w:tc>
          <w:tcPr>
            <w:tcW w:w="709"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right="-108"/>
              <w:jc w:val="center"/>
              <w:rPr>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left="-120" w:right="-108"/>
              <w:jc w:val="center"/>
              <w:rPr>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jc w:val="center"/>
              <w:rPr>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shd w:val="pct5" w:color="auto" w:fill="auto"/>
          </w:tcPr>
          <w:p w:rsidR="00F0010F" w:rsidRPr="008B47FF" w:rsidRDefault="00F0010F" w:rsidP="00AF5A50">
            <w:pPr>
              <w:ind w:left="-108" w:right="-108"/>
              <w:jc w:val="center"/>
              <w:rPr>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F0010F" w:rsidRPr="00027881" w:rsidRDefault="00F0010F" w:rsidP="00AF5A50">
            <w:pPr>
              <w:jc w:val="center"/>
              <w:rPr>
                <w:lang w:val="en-US"/>
              </w:rPr>
            </w:pPr>
            <w:r w:rsidRPr="008B47FF">
              <w:rPr>
                <w:sz w:val="22"/>
                <w:szCs w:val="22"/>
                <w:lang w:val="en-US"/>
              </w:rPr>
              <w:t>5</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 xml:space="preserve">1. Lucrari  de constructie  </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1001 - 1500 mm / Radiator panou din otel AERFILD T22 500*1400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1501 - 2000 mm / Radiator panou din otel AERFILD T22 500*1600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1001 - 1500 mm / Radiator panou din otel AERFILD T22 500*1200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37,0000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1001 - 1500 mm / Radiator panou din otel AERFILD T22 500*1000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7,0000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pina la  1000 mm, inclusiv// Radiator panou din otel AERFILD T22 500*800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otel, monobloc avind lungimea de pina la  1000 mm, inclusiv// Radiator panou din otel AERFILD T22 500*800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IB05A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Radiatoare din aluminiu, corpul de radiator avind pina la 10 elemente, inclusiv (Алюминиевые радиаторы из 10 элементов, включительно) Radiator Bimetalic RAGNAR Premium RG500P H500 10 elem.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IB20A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Elemente de sustinere pentru corpuri de incalzire, montat pe zid de caramida.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9</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Kit montaj radiator</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3/8" -1/2"/ Robinet tur drept dn15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3/8" -1/2"/ Robinet retur drept dn15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ID06A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aerisire cu cheie mobila pentru instalatii de incalzire centrala, avind diametrul nominal de 1/4"/ Dezaerator manual dn15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13</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Cap termostatic manual</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IC35B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20,0 mm/ Conducta din polipropilena PP-R PN25 D20x3.4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Piesa de racordare (fiting), cu 2 imbinari, din polipropilena imbinate prin polifusiune cu teava din polipropilena armata, avind </w:t>
            </w:r>
            <w:r w:rsidRPr="00B40365">
              <w:rPr>
                <w:lang w:val="en-US"/>
              </w:rPr>
              <w:lastRenderedPageBreak/>
              <w:t>diametrul exterior de pina la 20,0 mm, inclusiv Reductie PPR p/m F 20*1/2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16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Reductie PPR p/m M 20*1/2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Curba ocolire cu racorduri 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Mufa PPR 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19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IC30C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Fitinguri din fonta maleabila, avind 2 insurubari, montata prin insurubare cu teava de otel, avind diametrul de 3/4" Reductie bronz 3/4* M x 1/2 F</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Cot 45* PPR 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Cot 90* PPR 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pina la 20,0 mm, inclusiv Olandez PPR p/m MF20*1/2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IC35C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la legatura corpurilor sau aparatelor de incalzire, in instalatii de incalzire centrala, avind diametrul exterior de 25,0 mm/ Conducta din polipropilena PP-R PN25 D25x4.20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764,0000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24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IC38H</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3 imbinari, din polipropilena imbinate prin polifusiune cu teava din polipropilena armata, avind diametrul exterior de 25,0 mm/ Teu din polipropilena redus 25*20*25 PP-R PN25 D25x4.2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IC38H</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Piesa de racordare (fiting), cu 3 imbinari, din polipropilena imbinate prin polifusiune cu teava din polipropilena armata, avind diametrul exterior de 25,0 mm/ Teu din polipropilena m/p 25*1/2 PP-R </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Reductie PPR MF25*20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Curba ocolire cu racorduri 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Mufa PPR 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29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Cot 90* PPR 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Cot 45* PPR 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25,0 mm Olandez PPR p/m MF25*3/4</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Piesa de racordare (fiting), cu 2 imbinari, din polipropilena imbinate prin polifusiune cu </w:t>
            </w:r>
            <w:r w:rsidRPr="00B40365">
              <w:rPr>
                <w:lang w:val="en-US"/>
              </w:rPr>
              <w:lastRenderedPageBreak/>
              <w:t>teava din polipropilena armata, avind diametrul exterior de 25,0 mm Reductie PPR p/m M 25*3/4</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33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IC36C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in coloane la  instalatii de incalzire centrala, avind diametrul exterior de 32,0 mm. PPR D32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Reductie PPR MF32*25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IC38I</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3 imbinari, din polipropilena imbinate prin polifusiune cu teava din polipropilena armata, avind diametrul exterior de 32,0 mm Teu PPR 32*25*32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Curba ocolire cu racorduri 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Mufa 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Cot 90* PPR32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39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Cot 45* PPR32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Olandez PPR p/m MF32*1"</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41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IC38C</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32,0 mm Reductie PPR p/m M 32*1"</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IC36D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in coloane la  instalatii de incalzire centrala, avind diametrul exterior de 40,0 mm. PPR D40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40,0 mm Reductie PPR MF40*32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IC38J</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3 imbinari, din polipropilena imbinate prin polifusiune cu teava din polipropilena armata, avind diametrul exterior de 40,0 mm Teu PPR40*32*40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40,0 mm Mufa PPR 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40,0 mm Cot PPR 90* D40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40,0 mm Cot PPR 45* D40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IC36E</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in coloane la  instalatii de incalzire centrala, avind diametrul exterior de 50,0 mm. PPR D50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49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IC38E</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Piesa de racordare (fiting), cu 2 imbinari, din polipropilena imbinate prin polifusiune cu teava din polipropilena armata, avind </w:t>
            </w:r>
            <w:r w:rsidRPr="00B40365">
              <w:rPr>
                <w:lang w:val="en-US"/>
              </w:rPr>
              <w:lastRenderedPageBreak/>
              <w:t>diametrul exterior de 50,0 mm Reductie PPR MF50*40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50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IC38K</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3 imbinari, din polipropilena imbinate prin polifusiune cu teava din polipropilena armata, avind diametrul exterior de 50,0 mm Teu PPR 50*32*50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IC38E</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50,0 mm Mufa PPR d50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IC38E</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50,0 mm Cot PPR 90* D50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IC38E</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50,0 mm Cot PPR 90* D50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IC36F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Teava din polietilena armata de inalta densitate sau polipropilena armata sau nearmata, montata in coloane la  instalatii de incalzire centrala, avind diametrul exterior de 63,0 mm. PPR d63</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63,0 mm Reductie PPR MF63*50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IC38L</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3 imbinari, din polipropilena imbinate prin polifusiune cu teava din polipropilena armata, avind diametrul exterior de 63,0 mm Teu PPR 63*32*63</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63,0 mm Mufa PPR 63</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58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 xml:space="preserve">Piesa de racordare (fiting), cu 2 imbinari, din polipropilena imbinate prin polifusiune cu </w:t>
            </w:r>
            <w:r w:rsidRPr="00B40365">
              <w:rPr>
                <w:lang w:val="en-US"/>
              </w:rPr>
              <w:lastRenderedPageBreak/>
              <w:t>teava din polipropilena armata, avind diametrul exterior de 63,0 mm Cot PPR 90* D63</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lastRenderedPageBreak/>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59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IC38F</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Piesa de racordare (fiting), cu 2 imbinari, din polipropilena imbinate prin polifusiune cu teava din polipropilena armata, avind diametrul exterior de 63,0 mm Cot PPR 90* D63</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impuscare, teava avind pina la 1" inclusiv D25</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1 000,0000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impuscare, teava avind pina la 1" inclusiv D20</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IC40A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dibluri pina la 1" inclusiv,  pe dibluri din PVC pe zid de caramida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dibluri de 1 1/4",  pe dibluri din PVC pe zid de caramida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dibluri de 1 1/2",  pe dibluri din PVC pe zid de caramida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25,0000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IC40B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Bratara pentru fixarea conductelor din otel pentru instalatia de incalzire centrala sau gaze, montata prin dibluri de 2",  pe dibluri din PVC pe zid de caramida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60,0000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trecere sau de retinere cu mufe pentru instalatii de incalzire central, avind diametrul nominal de 1/2" -1" Robinet coloana Emmet sau analog Dn 1/2</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1/2" Robinet bila Emmet 1/2 MF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68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1/2" -  Robinet bila cu olandez Emmet 1/2 MF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69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3/4" -  Robinet bila cu olandez Emmet 3/4 MF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70</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ID01B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cu ventil cu dublu reglaj (tur sau retur) pentru instalatii de incalzire central, avind diametrul nominal de 1" - Robinet bila cu olandez Emmet 1" MF sau analog</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71</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IC42A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Suporti si dispozitive de fixare pentru sustinerea conductelor, boilere, aparate si recipienti, avind greutatea de pina la 2 kg / bucata</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20,0000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72</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IE01D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Efectuarea probei de etanseitate la presiune a instalatiei de incalzire centrala, avind conducte din otel, cupru, polietilena sau polipropilena, cu corpuri de incalzire, aparate de incalzire, armaturi, distribuitoare, colectoare si vase sau robineti de aerisire, avind suprafata totala a corpurilor de incalzire de peste 500 mp</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579,4600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73</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IE02D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Efectuarea probei de dilatare-contractare si de functionare a instalatiei de incalzire centrala, avind conducte din otel, cupru, polietilena sau polipropilena, cu corpuri de incalzire, aparate de incalzire, armaturi, distribuitoare, colectoare si vase sau robineti de aerisire, avind suprafata totala a corpurilor de incalzire de peste 500 mp</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579,6000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74</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IE03A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Efectuarea probei de etanseitate la presiune a  conductelor de alimentare a aparatelor de incalzire (aeroterme, termoconvectoare, covectoare de plinta, etc.) avind diametrul de 3/8" ... 1"</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1 256,0000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75</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IE04A</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Efectuarea probei de dilatare-contractare si de functionare, a  conductelor de alimentare a aparatelor de incalzire (aeroterme, termoconvectoare, covectoare de plinta, etc.) avind diametrul de 3/8" ... 1"</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1 256,0000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lastRenderedPageBreak/>
              <w:t>76</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IE08D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Spalarea cu apa potabila a instalatiei interioare de incalzire centrala, suprafata totala a corpurilor fiind de peste 500 mp</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579,4600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77</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RpIB11D</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Demontarea radiatoarelor existente</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300,0000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78</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RpIC19B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Demontarea tevii negri, pentru instalatii, montate la incalzire centrala prin sudare, la constructii de locuit si social culturale, la legarea aparatelor, a coloanelor de distributie etc</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1 500,0000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2. Lucrari  de montare</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79</w:t>
            </w:r>
          </w:p>
        </w:tc>
        <w:tc>
          <w:tcPr>
            <w:tcW w:w="155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ID13B</w:t>
            </w: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Supapa de balansare cu mufe de tip ASV-I, ASV-PV, montata pe conducte avind diametrul nominal de 3/4"</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32,0000</w:t>
            </w:r>
          </w:p>
        </w:tc>
      </w:tr>
      <w:tr w:rsidR="00F0010F" w:rsidRPr="008B47FF" w:rsidTr="00AF5A50">
        <w:tc>
          <w:tcPr>
            <w:tcW w:w="709" w:type="dxa"/>
            <w:tcBorders>
              <w:top w:val="nil"/>
              <w:left w:val="single" w:sz="6" w:space="0" w:color="auto"/>
              <w:bottom w:val="nil"/>
              <w:right w:val="nil"/>
            </w:tcBorders>
          </w:tcPr>
          <w:p w:rsidR="00F0010F" w:rsidRPr="008B47FF" w:rsidRDefault="00F0010F" w:rsidP="00AF5A50">
            <w:pPr>
              <w:jc w:val="center"/>
              <w:rPr>
                <w:lang w:val="en-US"/>
              </w:rPr>
            </w:pPr>
          </w:p>
        </w:tc>
        <w:tc>
          <w:tcPr>
            <w:tcW w:w="1559" w:type="dxa"/>
            <w:tcBorders>
              <w:top w:val="nil"/>
              <w:left w:val="single" w:sz="6" w:space="0" w:color="auto"/>
              <w:bottom w:val="nil"/>
              <w:right w:val="nil"/>
            </w:tcBorders>
          </w:tcPr>
          <w:p w:rsidR="00F0010F" w:rsidRPr="008B47FF" w:rsidRDefault="00F0010F" w:rsidP="00AF5A50">
            <w:pPr>
              <w:rPr>
                <w:lang w:val="en-US"/>
              </w:rPr>
            </w:pPr>
          </w:p>
        </w:tc>
        <w:tc>
          <w:tcPr>
            <w:tcW w:w="7513" w:type="dxa"/>
            <w:gridSpan w:val="3"/>
            <w:tcBorders>
              <w:top w:val="nil"/>
              <w:left w:val="single" w:sz="6" w:space="0" w:color="auto"/>
              <w:bottom w:val="nil"/>
              <w:right w:val="single" w:sz="6" w:space="0" w:color="auto"/>
            </w:tcBorders>
          </w:tcPr>
          <w:p w:rsidR="00F0010F" w:rsidRPr="007F2714" w:rsidRDefault="00F0010F" w:rsidP="00AF5A50">
            <w:pPr>
              <w:rPr>
                <w:b/>
                <w:bCs/>
                <w:lang w:val="en-US"/>
              </w:rPr>
            </w:pPr>
            <w:r w:rsidRPr="00B40365">
              <w:rPr>
                <w:b/>
                <w:bCs/>
                <w:sz w:val="22"/>
                <w:szCs w:val="22"/>
                <w:lang w:val="en-US"/>
              </w:rPr>
              <w:t xml:space="preserve">3. Utilaj </w:t>
            </w:r>
          </w:p>
          <w:p w:rsidR="00F0010F" w:rsidRPr="00B40365" w:rsidRDefault="00F0010F" w:rsidP="00AF5A50">
            <w:pPr>
              <w:rPr>
                <w:lang w:val="en-US"/>
              </w:rPr>
            </w:pP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80</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reglare ASV-M, inclusiv doua nipluri de masurare, Dn=15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81</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reglare ASV-M, inclusiv doua nipluri de masurare, Dn=20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82</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reglare ASV-M, inclusiv doua nipluri de masurare, Dn=25 mm</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83</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echilibrare automata, montat pe conducta retur, tip ASV-PV, inclusiv tub de impuls de 1,5 m (G 1/16" A) si robinet de golire (G 3/4" A) Dn=15 mm, PN16</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84</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echilibrare automata, montat pe conducta retur, tip ASV-PV, inclusiv tub de impuls de 1,5 m (G 1/16" A) si robinet de golire (G 3/4" A) Dn=20 mm, PN16</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8,0000</w:t>
            </w:r>
          </w:p>
        </w:tc>
      </w:tr>
      <w:tr w:rsidR="00F0010F" w:rsidRPr="008B47FF" w:rsidTr="00AF5A5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F0010F" w:rsidRPr="008B47FF" w:rsidRDefault="00F0010F" w:rsidP="00AF5A50">
            <w:pPr>
              <w:rPr>
                <w:lang w:val="en-US"/>
              </w:rPr>
            </w:pPr>
            <w:r w:rsidRPr="008B47FF">
              <w:rPr>
                <w:sz w:val="22"/>
                <w:szCs w:val="22"/>
                <w:lang w:val="en-US"/>
              </w:rPr>
              <w:t>85</w:t>
            </w:r>
          </w:p>
        </w:tc>
        <w:tc>
          <w:tcPr>
            <w:tcW w:w="1559" w:type="dxa"/>
            <w:tcBorders>
              <w:top w:val="single" w:sz="4" w:space="0" w:color="auto"/>
              <w:bottom w:val="single" w:sz="4" w:space="0" w:color="auto"/>
            </w:tcBorders>
          </w:tcPr>
          <w:p w:rsidR="00F0010F" w:rsidRPr="008B47FF" w:rsidRDefault="00F0010F" w:rsidP="00AF5A50">
            <w:pPr>
              <w:rPr>
                <w:lang w:val="en-US"/>
              </w:rPr>
            </w:pPr>
          </w:p>
          <w:p w:rsidR="00F0010F" w:rsidRPr="008B47FF" w:rsidRDefault="00F0010F" w:rsidP="00AF5A50">
            <w:pPr>
              <w:rPr>
                <w:lang w:val="en-US"/>
              </w:rPr>
            </w:pPr>
          </w:p>
        </w:tc>
        <w:tc>
          <w:tcPr>
            <w:tcW w:w="4678" w:type="dxa"/>
            <w:tcBorders>
              <w:top w:val="single" w:sz="4" w:space="0" w:color="auto"/>
              <w:bottom w:val="single" w:sz="4" w:space="0" w:color="auto"/>
            </w:tcBorders>
            <w:vAlign w:val="center"/>
          </w:tcPr>
          <w:p w:rsidR="00F0010F" w:rsidRPr="00B40365" w:rsidRDefault="00F0010F" w:rsidP="00AF5A50">
            <w:pPr>
              <w:rPr>
                <w:lang w:val="en-US"/>
              </w:rPr>
            </w:pPr>
            <w:r w:rsidRPr="00B40365">
              <w:rPr>
                <w:lang w:val="en-US"/>
              </w:rPr>
              <w:t>Robinet de echilibrare automata, montat pe conducta retur, tip ASV-PV, inclusiv tub de impuls de 1,5 m (G 1/16" A) si robinet de golire (G 3/4" A) Dn=25 mm, PN16</w:t>
            </w:r>
          </w:p>
          <w:p w:rsidR="00F0010F" w:rsidRPr="00B40365" w:rsidRDefault="00F0010F" w:rsidP="00AF5A50">
            <w:pPr>
              <w:rPr>
                <w:lang w:val="en-US"/>
              </w:rPr>
            </w:pPr>
          </w:p>
        </w:tc>
        <w:tc>
          <w:tcPr>
            <w:tcW w:w="992"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F0010F" w:rsidRPr="008B47FF" w:rsidRDefault="00F0010F" w:rsidP="00AF5A50">
            <w:pPr>
              <w:jc w:val="center"/>
              <w:rPr>
                <w:lang w:val="en-US"/>
              </w:rPr>
            </w:pPr>
            <w:r w:rsidRPr="008B47FF">
              <w:rPr>
                <w:sz w:val="22"/>
                <w:szCs w:val="22"/>
                <w:lang w:val="en-US"/>
              </w:rPr>
              <w:t>4,0000</w:t>
            </w:r>
          </w:p>
        </w:tc>
      </w:tr>
      <w:bookmarkEnd w:id="0"/>
    </w:tbl>
    <w:p w:rsidR="003220B6" w:rsidRDefault="003220B6"/>
    <w:sectPr w:rsidR="003220B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8">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6">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17">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nsid w:val="3E3D6768"/>
    <w:multiLevelType w:val="hybridMultilevel"/>
    <w:tmpl w:val="19F2B626"/>
    <w:lvl w:ilvl="0" w:tplc="53C6438E">
      <w:start w:val="1"/>
      <w:numFmt w:val="decimal"/>
      <w:lvlText w:val="%1."/>
      <w:lvlJc w:val="left"/>
      <w:pPr>
        <w:ind w:left="720" w:hanging="360"/>
      </w:pPr>
      <w:rPr>
        <w:rFonts w:hint="default"/>
        <w:b/>
      </w:rPr>
    </w:lvl>
    <w:lvl w:ilvl="1" w:tplc="0442B36A">
      <w:start w:val="1"/>
      <w:numFmt w:val="lowerLetter"/>
      <w:lvlText w:val="%2."/>
      <w:lvlJc w:val="left"/>
      <w:pPr>
        <w:ind w:left="1440" w:hanging="360"/>
      </w:pPr>
    </w:lvl>
    <w:lvl w:ilvl="2" w:tplc="A10E2F7A" w:tentative="1">
      <w:start w:val="1"/>
      <w:numFmt w:val="lowerRoman"/>
      <w:lvlText w:val="%3."/>
      <w:lvlJc w:val="right"/>
      <w:pPr>
        <w:ind w:left="2160" w:hanging="180"/>
      </w:pPr>
    </w:lvl>
    <w:lvl w:ilvl="3" w:tplc="C75475A4" w:tentative="1">
      <w:start w:val="1"/>
      <w:numFmt w:val="decimal"/>
      <w:lvlText w:val="%4."/>
      <w:lvlJc w:val="left"/>
      <w:pPr>
        <w:ind w:left="2880" w:hanging="360"/>
      </w:pPr>
    </w:lvl>
    <w:lvl w:ilvl="4" w:tplc="AAF4EFCC" w:tentative="1">
      <w:start w:val="1"/>
      <w:numFmt w:val="lowerLetter"/>
      <w:lvlText w:val="%5."/>
      <w:lvlJc w:val="left"/>
      <w:pPr>
        <w:ind w:left="3600" w:hanging="360"/>
      </w:pPr>
    </w:lvl>
    <w:lvl w:ilvl="5" w:tplc="1FDE0C58" w:tentative="1">
      <w:start w:val="1"/>
      <w:numFmt w:val="lowerRoman"/>
      <w:lvlText w:val="%6."/>
      <w:lvlJc w:val="right"/>
      <w:pPr>
        <w:ind w:left="4320" w:hanging="180"/>
      </w:pPr>
    </w:lvl>
    <w:lvl w:ilvl="6" w:tplc="C76E6E8C" w:tentative="1">
      <w:start w:val="1"/>
      <w:numFmt w:val="decimal"/>
      <w:lvlText w:val="%7."/>
      <w:lvlJc w:val="left"/>
      <w:pPr>
        <w:ind w:left="5040" w:hanging="360"/>
      </w:pPr>
    </w:lvl>
    <w:lvl w:ilvl="7" w:tplc="7F58DAE4" w:tentative="1">
      <w:start w:val="1"/>
      <w:numFmt w:val="lowerLetter"/>
      <w:lvlText w:val="%8."/>
      <w:lvlJc w:val="left"/>
      <w:pPr>
        <w:ind w:left="5760" w:hanging="360"/>
      </w:pPr>
    </w:lvl>
    <w:lvl w:ilvl="8" w:tplc="031A6B5A" w:tentative="1">
      <w:start w:val="1"/>
      <w:numFmt w:val="lowerRoman"/>
      <w:lvlText w:val="%9."/>
      <w:lvlJc w:val="right"/>
      <w:pPr>
        <w:ind w:left="6480" w:hanging="180"/>
      </w:pPr>
    </w:lvl>
  </w:abstractNum>
  <w:abstractNum w:abstractNumId="2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2">
    <w:nsid w:val="40F70E95"/>
    <w:multiLevelType w:val="multilevel"/>
    <w:tmpl w:val="3A32DBE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3">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4D945CE5"/>
    <w:multiLevelType w:val="multilevel"/>
    <w:tmpl w:val="F40C1908"/>
    <w:lvl w:ilvl="0">
      <w:start w:val="5"/>
      <w:numFmt w:val="bullet"/>
      <w:lvlText w:val="-"/>
      <w:lvlJc w:val="left"/>
      <w:pPr>
        <w:tabs>
          <w:tab w:val="num" w:pos="0"/>
        </w:tabs>
        <w:ind w:left="720" w:hanging="360"/>
      </w:pPr>
      <w:rPr>
        <w:rFonts w:ascii="Times New Roman" w:hAnsi="Times New Roman" w:cs="Times New Roman" w:hint="default"/>
        <w:i/>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7">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nsid w:val="7D3E048B"/>
    <w:multiLevelType w:val="multilevel"/>
    <w:tmpl w:val="3FE23736"/>
    <w:lvl w:ilvl="0">
      <w:start w:val="1"/>
      <w:numFmt w:val="decimal"/>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5"/>
  </w:num>
  <w:num w:numId="4">
    <w:abstractNumId w:val="24"/>
  </w:num>
  <w:num w:numId="5">
    <w:abstractNumId w:val="10"/>
  </w:num>
  <w:num w:numId="6">
    <w:abstractNumId w:val="13"/>
  </w:num>
  <w:num w:numId="7">
    <w:abstractNumId w:val="11"/>
  </w:num>
  <w:num w:numId="8">
    <w:abstractNumId w:val="6"/>
  </w:num>
  <w:num w:numId="9">
    <w:abstractNumId w:val="23"/>
  </w:num>
  <w:num w:numId="10">
    <w:abstractNumId w:val="9"/>
  </w:num>
  <w:num w:numId="11">
    <w:abstractNumId w:val="17"/>
  </w:num>
  <w:num w:numId="12">
    <w:abstractNumId w:val="18"/>
  </w:num>
  <w:num w:numId="13">
    <w:abstractNumId w:val="31"/>
  </w:num>
  <w:num w:numId="14">
    <w:abstractNumId w:val="21"/>
  </w:num>
  <w:num w:numId="15">
    <w:abstractNumId w:val="19"/>
  </w:num>
  <w:num w:numId="16">
    <w:abstractNumId w:val="7"/>
  </w:num>
  <w:num w:numId="17">
    <w:abstractNumId w:val="33"/>
  </w:num>
  <w:num w:numId="18">
    <w:abstractNumId w:val="28"/>
  </w:num>
  <w:num w:numId="19">
    <w:abstractNumId w:val="8"/>
  </w:num>
  <w:num w:numId="20">
    <w:abstractNumId w:val="27"/>
  </w:num>
  <w:num w:numId="21">
    <w:abstractNumId w:val="14"/>
  </w:num>
  <w:num w:numId="22">
    <w:abstractNumId w:val="32"/>
  </w:num>
  <w:num w:numId="23">
    <w:abstractNumId w:val="15"/>
  </w:num>
  <w:num w:numId="24">
    <w:abstractNumId w:val="5"/>
  </w:num>
  <w:num w:numId="25">
    <w:abstractNumId w:val="3"/>
  </w:num>
  <w:num w:numId="26">
    <w:abstractNumId w:val="0"/>
  </w:num>
  <w:num w:numId="27">
    <w:abstractNumId w:val="2"/>
  </w:num>
  <w:num w:numId="28">
    <w:abstractNumId w:val="4"/>
  </w:num>
  <w:num w:numId="29">
    <w:abstractNumId w:val="1"/>
  </w:num>
  <w:num w:numId="30">
    <w:abstractNumId w:val="30"/>
  </w:num>
  <w:num w:numId="31">
    <w:abstractNumId w:val="12"/>
  </w:num>
  <w:num w:numId="32">
    <w:abstractNumId w:val="34"/>
  </w:num>
  <w:num w:numId="33">
    <w:abstractNumId w:val="35"/>
  </w:num>
  <w:num w:numId="34">
    <w:abstractNumId w:val="22"/>
  </w:num>
  <w:num w:numId="35">
    <w:abstractNumId w:val="26"/>
  </w:num>
  <w:num w:numId="36">
    <w:abstractNumId w:val="20"/>
  </w:num>
  <w:num w:numId="37">
    <w:abstractNumId w:val="1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7A06"/>
    <w:rsid w:val="003220B6"/>
    <w:rsid w:val="00DE7A06"/>
    <w:rsid w:val="00F001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5C67BC-9D97-4C04-9AA2-4417733D5C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0010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0010F"/>
    <w:pPr>
      <w:numPr>
        <w:numId w:val="1"/>
      </w:numPr>
      <w:jc w:val="center"/>
      <w:outlineLvl w:val="0"/>
    </w:pPr>
    <w:rPr>
      <w:b/>
    </w:rPr>
  </w:style>
  <w:style w:type="paragraph" w:styleId="2">
    <w:name w:val="heading 2"/>
    <w:basedOn w:val="a0"/>
    <w:next w:val="a0"/>
    <w:link w:val="20"/>
    <w:unhideWhenUsed/>
    <w:qFormat/>
    <w:rsid w:val="00F0010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F0010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F0010F"/>
    <w:pPr>
      <w:keepNext/>
      <w:outlineLvl w:val="3"/>
    </w:pPr>
    <w:rPr>
      <w:rFonts w:ascii="Baltica RR" w:hAnsi="Baltica RR"/>
      <w:b/>
      <w:noProof w:val="0"/>
      <w:szCs w:val="20"/>
      <w:lang w:eastAsia="ru-RU"/>
    </w:rPr>
  </w:style>
  <w:style w:type="paragraph" w:styleId="5">
    <w:name w:val="heading 5"/>
    <w:basedOn w:val="a0"/>
    <w:next w:val="a0"/>
    <w:link w:val="50"/>
    <w:qFormat/>
    <w:rsid w:val="00F0010F"/>
    <w:pPr>
      <w:keepNext/>
      <w:ind w:firstLine="6804"/>
      <w:outlineLvl w:val="4"/>
    </w:pPr>
    <w:rPr>
      <w:noProof w:val="0"/>
      <w:sz w:val="28"/>
      <w:szCs w:val="20"/>
      <w:lang w:eastAsia="ru-RU"/>
    </w:rPr>
  </w:style>
  <w:style w:type="paragraph" w:styleId="8">
    <w:name w:val="heading 8"/>
    <w:basedOn w:val="a0"/>
    <w:next w:val="a0"/>
    <w:link w:val="80"/>
    <w:semiHidden/>
    <w:unhideWhenUsed/>
    <w:qFormat/>
    <w:rsid w:val="00F0010F"/>
    <w:pPr>
      <w:spacing w:before="240" w:after="60"/>
      <w:outlineLvl w:val="7"/>
    </w:pPr>
    <w:rPr>
      <w:rFonts w:ascii="Calibri" w:hAnsi="Calibri"/>
      <w:i/>
      <w:iCs/>
      <w:noProof w:val="0"/>
    </w:rPr>
  </w:style>
  <w:style w:type="paragraph" w:styleId="9">
    <w:name w:val="heading 9"/>
    <w:basedOn w:val="a0"/>
    <w:next w:val="a0"/>
    <w:link w:val="90"/>
    <w:semiHidden/>
    <w:unhideWhenUsed/>
    <w:qFormat/>
    <w:rsid w:val="00F0010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F0010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0010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F0010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F0010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0010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0010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0010F"/>
    <w:rPr>
      <w:rFonts w:ascii="Cambria" w:eastAsia="Times New Roman" w:hAnsi="Cambria" w:cs="Times New Roman"/>
      <w:lang w:val="ro-RO"/>
    </w:rPr>
  </w:style>
  <w:style w:type="paragraph" w:styleId="a4">
    <w:name w:val="footer"/>
    <w:basedOn w:val="a0"/>
    <w:link w:val="a5"/>
    <w:uiPriority w:val="99"/>
    <w:rsid w:val="00F0010F"/>
    <w:pPr>
      <w:tabs>
        <w:tab w:val="center" w:pos="4536"/>
        <w:tab w:val="right" w:pos="9072"/>
      </w:tabs>
    </w:pPr>
  </w:style>
  <w:style w:type="character" w:customStyle="1" w:styleId="a5">
    <w:name w:val="Нижний колонтитул Знак"/>
    <w:basedOn w:val="a1"/>
    <w:link w:val="a4"/>
    <w:uiPriority w:val="99"/>
    <w:rsid w:val="00F0010F"/>
    <w:rPr>
      <w:rFonts w:ascii="Times New Roman" w:eastAsia="Times New Roman" w:hAnsi="Times New Roman" w:cs="Times New Roman"/>
      <w:noProof/>
      <w:sz w:val="24"/>
      <w:szCs w:val="24"/>
      <w:lang w:val="ro-RO"/>
    </w:rPr>
  </w:style>
  <w:style w:type="character" w:styleId="a6">
    <w:name w:val="page number"/>
    <w:basedOn w:val="a1"/>
    <w:rsid w:val="00F0010F"/>
  </w:style>
  <w:style w:type="paragraph" w:styleId="a">
    <w:name w:val="List Paragraph"/>
    <w:aliases w:val="HotarirePunct1"/>
    <w:basedOn w:val="a0"/>
    <w:link w:val="a7"/>
    <w:uiPriority w:val="34"/>
    <w:qFormat/>
    <w:rsid w:val="00F0010F"/>
    <w:pPr>
      <w:numPr>
        <w:numId w:val="2"/>
      </w:numPr>
      <w:tabs>
        <w:tab w:val="left" w:pos="1134"/>
      </w:tabs>
      <w:jc w:val="both"/>
    </w:pPr>
    <w:rPr>
      <w:noProof w:val="0"/>
      <w:lang w:val="en-US"/>
    </w:rPr>
  </w:style>
  <w:style w:type="paragraph" w:styleId="a8">
    <w:name w:val="Body Text"/>
    <w:basedOn w:val="a0"/>
    <w:link w:val="a9"/>
    <w:rsid w:val="00F0010F"/>
    <w:rPr>
      <w:rFonts w:ascii="Baltica RR" w:hAnsi="Baltica RR"/>
      <w:noProof w:val="0"/>
      <w:szCs w:val="20"/>
    </w:rPr>
  </w:style>
  <w:style w:type="character" w:customStyle="1" w:styleId="a9">
    <w:name w:val="Основной текст Знак"/>
    <w:basedOn w:val="a1"/>
    <w:link w:val="a8"/>
    <w:rsid w:val="00F0010F"/>
    <w:rPr>
      <w:rFonts w:ascii="Baltica RR" w:eastAsia="Times New Roman" w:hAnsi="Baltica RR" w:cs="Times New Roman"/>
      <w:sz w:val="24"/>
      <w:szCs w:val="20"/>
      <w:lang w:val="ro-RO"/>
    </w:rPr>
  </w:style>
  <w:style w:type="paragraph" w:styleId="aa">
    <w:name w:val="header"/>
    <w:basedOn w:val="a0"/>
    <w:link w:val="ab"/>
    <w:rsid w:val="00F0010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F0010F"/>
    <w:rPr>
      <w:rFonts w:ascii="Times New Roman" w:eastAsia="Times New Roman" w:hAnsi="Times New Roman" w:cs="Times New Roman"/>
      <w:sz w:val="20"/>
      <w:szCs w:val="20"/>
      <w:lang w:eastAsia="ru-RU"/>
    </w:rPr>
  </w:style>
  <w:style w:type="paragraph" w:styleId="ac">
    <w:name w:val="Subtitle"/>
    <w:basedOn w:val="a0"/>
    <w:link w:val="ad"/>
    <w:qFormat/>
    <w:rsid w:val="00F0010F"/>
    <w:pPr>
      <w:jc w:val="center"/>
    </w:pPr>
    <w:rPr>
      <w:b/>
      <w:noProof w:val="0"/>
      <w:sz w:val="32"/>
      <w:szCs w:val="20"/>
      <w:lang w:val="en-US" w:eastAsia="ru-RU"/>
    </w:rPr>
  </w:style>
  <w:style w:type="character" w:customStyle="1" w:styleId="ad">
    <w:name w:val="Подзаголовок Знак"/>
    <w:basedOn w:val="a1"/>
    <w:link w:val="ac"/>
    <w:rsid w:val="00F0010F"/>
    <w:rPr>
      <w:rFonts w:ascii="Times New Roman" w:eastAsia="Times New Roman" w:hAnsi="Times New Roman" w:cs="Times New Roman"/>
      <w:b/>
      <w:sz w:val="32"/>
      <w:szCs w:val="20"/>
      <w:lang w:val="en-US" w:eastAsia="ru-RU"/>
    </w:rPr>
  </w:style>
  <w:style w:type="paragraph" w:styleId="ae">
    <w:name w:val="Body Text Indent"/>
    <w:basedOn w:val="a0"/>
    <w:link w:val="af"/>
    <w:rsid w:val="00F0010F"/>
    <w:pPr>
      <w:ind w:firstLine="720"/>
      <w:jc w:val="both"/>
    </w:pPr>
    <w:rPr>
      <w:noProof w:val="0"/>
      <w:sz w:val="20"/>
      <w:szCs w:val="20"/>
      <w:lang w:eastAsia="ru-RU"/>
    </w:rPr>
  </w:style>
  <w:style w:type="character" w:customStyle="1" w:styleId="af">
    <w:name w:val="Основной текст с отступом Знак"/>
    <w:basedOn w:val="a1"/>
    <w:link w:val="ae"/>
    <w:rsid w:val="00F0010F"/>
    <w:rPr>
      <w:rFonts w:ascii="Times New Roman" w:eastAsia="Times New Roman" w:hAnsi="Times New Roman" w:cs="Times New Roman"/>
      <w:sz w:val="20"/>
      <w:szCs w:val="20"/>
      <w:lang w:val="ro-RO" w:eastAsia="ru-RU"/>
    </w:rPr>
  </w:style>
  <w:style w:type="paragraph" w:styleId="21">
    <w:name w:val="Body Text Indent 2"/>
    <w:basedOn w:val="a0"/>
    <w:link w:val="22"/>
    <w:rsid w:val="00F0010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0010F"/>
    <w:rPr>
      <w:rFonts w:ascii="Baltica RR" w:eastAsia="Times New Roman" w:hAnsi="Baltica RR" w:cs="Times New Roman"/>
      <w:sz w:val="24"/>
      <w:szCs w:val="20"/>
      <w:lang w:val="ro-RO" w:eastAsia="ru-RU"/>
    </w:rPr>
  </w:style>
  <w:style w:type="paragraph" w:styleId="23">
    <w:name w:val="Body Text 2"/>
    <w:basedOn w:val="a0"/>
    <w:link w:val="24"/>
    <w:rsid w:val="00F0010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0010F"/>
    <w:rPr>
      <w:rFonts w:ascii="Baltica RR" w:eastAsia="Times New Roman" w:hAnsi="Baltica RR" w:cs="Times New Roman"/>
      <w:sz w:val="24"/>
      <w:szCs w:val="20"/>
      <w:lang w:val="ro-RO" w:eastAsia="ru-RU"/>
    </w:rPr>
  </w:style>
  <w:style w:type="paragraph" w:styleId="af0">
    <w:name w:val="Balloon Text"/>
    <w:basedOn w:val="a0"/>
    <w:link w:val="af1"/>
    <w:semiHidden/>
    <w:rsid w:val="00F0010F"/>
    <w:rPr>
      <w:rFonts w:ascii="Tahoma" w:hAnsi="Tahoma" w:cs="Tahoma"/>
      <w:noProof w:val="0"/>
      <w:sz w:val="16"/>
      <w:szCs w:val="16"/>
      <w:lang w:val="ru-RU" w:eastAsia="ru-RU"/>
    </w:rPr>
  </w:style>
  <w:style w:type="character" w:customStyle="1" w:styleId="af1">
    <w:name w:val="Текст выноски Знак"/>
    <w:basedOn w:val="a1"/>
    <w:link w:val="af0"/>
    <w:semiHidden/>
    <w:rsid w:val="00F0010F"/>
    <w:rPr>
      <w:rFonts w:ascii="Tahoma" w:eastAsia="Times New Roman" w:hAnsi="Tahoma" w:cs="Tahoma"/>
      <w:sz w:val="16"/>
      <w:szCs w:val="16"/>
      <w:lang w:eastAsia="ru-RU"/>
    </w:rPr>
  </w:style>
  <w:style w:type="table" w:styleId="af2">
    <w:name w:val="Table Grid"/>
    <w:basedOn w:val="a2"/>
    <w:uiPriority w:val="39"/>
    <w:rsid w:val="00F0010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F0010F"/>
    <w:pPr>
      <w:ind w:firstLine="567"/>
      <w:jc w:val="both"/>
    </w:pPr>
    <w:rPr>
      <w:noProof w:val="0"/>
      <w:lang w:val="ru-RU" w:eastAsia="ru-RU"/>
    </w:rPr>
  </w:style>
  <w:style w:type="paragraph" w:customStyle="1" w:styleId="cn">
    <w:name w:val="cn"/>
    <w:basedOn w:val="a0"/>
    <w:rsid w:val="00F0010F"/>
    <w:pPr>
      <w:jc w:val="center"/>
    </w:pPr>
    <w:rPr>
      <w:noProof w:val="0"/>
      <w:lang w:val="ru-RU" w:eastAsia="ru-RU"/>
    </w:rPr>
  </w:style>
  <w:style w:type="paragraph" w:customStyle="1" w:styleId="cb">
    <w:name w:val="cb"/>
    <w:basedOn w:val="a0"/>
    <w:rsid w:val="00F0010F"/>
    <w:pPr>
      <w:jc w:val="center"/>
    </w:pPr>
    <w:rPr>
      <w:b/>
      <w:bCs/>
      <w:noProof w:val="0"/>
      <w:lang w:val="ru-RU" w:eastAsia="ru-RU"/>
    </w:rPr>
  </w:style>
  <w:style w:type="paragraph" w:styleId="31">
    <w:name w:val="Body Text Indent 3"/>
    <w:basedOn w:val="a0"/>
    <w:link w:val="32"/>
    <w:rsid w:val="00F0010F"/>
    <w:pPr>
      <w:spacing w:after="120"/>
      <w:ind w:left="283"/>
    </w:pPr>
    <w:rPr>
      <w:noProof w:val="0"/>
      <w:sz w:val="16"/>
      <w:szCs w:val="16"/>
    </w:rPr>
  </w:style>
  <w:style w:type="character" w:customStyle="1" w:styleId="32">
    <w:name w:val="Основной текст с отступом 3 Знак"/>
    <w:basedOn w:val="a1"/>
    <w:link w:val="31"/>
    <w:rsid w:val="00F0010F"/>
    <w:rPr>
      <w:rFonts w:ascii="Times New Roman" w:eastAsia="Times New Roman" w:hAnsi="Times New Roman" w:cs="Times New Roman"/>
      <w:sz w:val="16"/>
      <w:szCs w:val="16"/>
      <w:lang w:val="ro-RO"/>
    </w:rPr>
  </w:style>
  <w:style w:type="character" w:styleId="af4">
    <w:name w:val="Hyperlink"/>
    <w:uiPriority w:val="99"/>
    <w:rsid w:val="00F0010F"/>
    <w:rPr>
      <w:color w:val="0000FF"/>
      <w:u w:val="single"/>
    </w:rPr>
  </w:style>
  <w:style w:type="paragraph" w:customStyle="1" w:styleId="cp">
    <w:name w:val="cp"/>
    <w:basedOn w:val="a0"/>
    <w:rsid w:val="00F0010F"/>
    <w:pPr>
      <w:jc w:val="center"/>
    </w:pPr>
    <w:rPr>
      <w:b/>
      <w:bCs/>
      <w:noProof w:val="0"/>
      <w:lang w:eastAsia="ru-RU"/>
    </w:rPr>
  </w:style>
  <w:style w:type="paragraph" w:customStyle="1" w:styleId="rg">
    <w:name w:val="rg"/>
    <w:basedOn w:val="a0"/>
    <w:rsid w:val="00F0010F"/>
    <w:pPr>
      <w:jc w:val="right"/>
    </w:pPr>
    <w:rPr>
      <w:noProof w:val="0"/>
      <w:lang w:val="ru-RU" w:eastAsia="ru-RU"/>
    </w:rPr>
  </w:style>
  <w:style w:type="paragraph" w:customStyle="1" w:styleId="Listparagraf1">
    <w:name w:val="Listă paragraf1"/>
    <w:basedOn w:val="a0"/>
    <w:qFormat/>
    <w:rsid w:val="00F0010F"/>
    <w:pPr>
      <w:ind w:left="708"/>
    </w:pPr>
    <w:rPr>
      <w:noProof w:val="0"/>
      <w:lang w:eastAsia="ru-RU"/>
    </w:rPr>
  </w:style>
  <w:style w:type="paragraph" w:customStyle="1" w:styleId="Sub-ClauseText">
    <w:name w:val="Sub-Clause Text"/>
    <w:basedOn w:val="a0"/>
    <w:rsid w:val="00F0010F"/>
    <w:pPr>
      <w:spacing w:before="120" w:after="120"/>
      <w:jc w:val="both"/>
    </w:pPr>
    <w:rPr>
      <w:noProof w:val="0"/>
      <w:spacing w:val="-4"/>
      <w:szCs w:val="20"/>
      <w:lang w:val="en-US"/>
    </w:rPr>
  </w:style>
  <w:style w:type="paragraph" w:customStyle="1" w:styleId="i">
    <w:name w:val="(i)"/>
    <w:basedOn w:val="a0"/>
    <w:rsid w:val="00F0010F"/>
    <w:pPr>
      <w:suppressAutoHyphens/>
      <w:jc w:val="both"/>
    </w:pPr>
    <w:rPr>
      <w:rFonts w:ascii="Tms Rmn" w:hAnsi="Tms Rmn"/>
      <w:noProof w:val="0"/>
      <w:szCs w:val="20"/>
      <w:lang w:val="en-US"/>
    </w:rPr>
  </w:style>
  <w:style w:type="paragraph" w:customStyle="1" w:styleId="ListParagraph1">
    <w:name w:val="List Paragraph1"/>
    <w:basedOn w:val="a0"/>
    <w:qFormat/>
    <w:rsid w:val="00F0010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0010F"/>
    <w:pPr>
      <w:spacing w:after="240"/>
    </w:pPr>
    <w:rPr>
      <w:noProof w:val="0"/>
      <w:szCs w:val="20"/>
      <w:lang w:val="en-US"/>
    </w:rPr>
  </w:style>
  <w:style w:type="paragraph" w:styleId="af5">
    <w:name w:val="TOC Heading"/>
    <w:basedOn w:val="1"/>
    <w:next w:val="a0"/>
    <w:uiPriority w:val="39"/>
    <w:unhideWhenUsed/>
    <w:qFormat/>
    <w:rsid w:val="00F0010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0010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0010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0010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F0010F"/>
    <w:pPr>
      <w:jc w:val="both"/>
    </w:pPr>
    <w:rPr>
      <w:noProof w:val="0"/>
      <w:sz w:val="20"/>
      <w:szCs w:val="20"/>
      <w:lang w:val="en-US"/>
    </w:rPr>
  </w:style>
  <w:style w:type="character" w:customStyle="1" w:styleId="af7">
    <w:name w:val="Текст сноски Знак"/>
    <w:basedOn w:val="a1"/>
    <w:link w:val="af6"/>
    <w:rsid w:val="00F0010F"/>
    <w:rPr>
      <w:rFonts w:ascii="Times New Roman" w:eastAsia="Times New Roman" w:hAnsi="Times New Roman" w:cs="Times New Roman"/>
      <w:sz w:val="20"/>
      <w:szCs w:val="20"/>
      <w:lang w:val="en-US"/>
    </w:rPr>
  </w:style>
  <w:style w:type="character" w:styleId="af8">
    <w:name w:val="footnote reference"/>
    <w:rsid w:val="00F0010F"/>
    <w:rPr>
      <w:vertAlign w:val="superscript"/>
    </w:rPr>
  </w:style>
  <w:style w:type="character" w:styleId="af9">
    <w:name w:val="annotation reference"/>
    <w:uiPriority w:val="99"/>
    <w:rsid w:val="00F0010F"/>
    <w:rPr>
      <w:sz w:val="16"/>
      <w:szCs w:val="16"/>
    </w:rPr>
  </w:style>
  <w:style w:type="paragraph" w:styleId="afa">
    <w:name w:val="annotation text"/>
    <w:basedOn w:val="a0"/>
    <w:link w:val="afb"/>
    <w:uiPriority w:val="99"/>
    <w:rsid w:val="00F0010F"/>
    <w:rPr>
      <w:noProof w:val="0"/>
      <w:sz w:val="20"/>
      <w:szCs w:val="20"/>
      <w:lang w:val="ru-RU" w:eastAsia="ru-RU"/>
    </w:rPr>
  </w:style>
  <w:style w:type="character" w:customStyle="1" w:styleId="afb">
    <w:name w:val="Текст примечания Знак"/>
    <w:basedOn w:val="a1"/>
    <w:link w:val="afa"/>
    <w:uiPriority w:val="99"/>
    <w:rsid w:val="00F0010F"/>
    <w:rPr>
      <w:rFonts w:ascii="Times New Roman" w:eastAsia="Times New Roman" w:hAnsi="Times New Roman" w:cs="Times New Roman"/>
      <w:sz w:val="20"/>
      <w:szCs w:val="20"/>
      <w:lang w:eastAsia="ru-RU"/>
    </w:rPr>
  </w:style>
  <w:style w:type="paragraph" w:styleId="afc">
    <w:name w:val="annotation subject"/>
    <w:basedOn w:val="afa"/>
    <w:next w:val="afa"/>
    <w:link w:val="afd"/>
    <w:rsid w:val="00F0010F"/>
    <w:rPr>
      <w:b/>
      <w:bCs/>
    </w:rPr>
  </w:style>
  <w:style w:type="character" w:customStyle="1" w:styleId="afd">
    <w:name w:val="Тема примечания Знак"/>
    <w:basedOn w:val="afb"/>
    <w:link w:val="afc"/>
    <w:rsid w:val="00F0010F"/>
    <w:rPr>
      <w:rFonts w:ascii="Times New Roman" w:eastAsia="Times New Roman" w:hAnsi="Times New Roman" w:cs="Times New Roman"/>
      <w:b/>
      <w:bCs/>
      <w:sz w:val="20"/>
      <w:szCs w:val="20"/>
      <w:lang w:eastAsia="ru-RU"/>
    </w:rPr>
  </w:style>
  <w:style w:type="paragraph" w:customStyle="1" w:styleId="Default">
    <w:name w:val="Default"/>
    <w:rsid w:val="00F0010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0010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F0010F"/>
  </w:style>
  <w:style w:type="paragraph" w:customStyle="1" w:styleId="Style3">
    <w:name w:val="Style3"/>
    <w:basedOn w:val="3"/>
    <w:link w:val="Style3Char"/>
    <w:qFormat/>
    <w:rsid w:val="00F0010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0010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0010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0010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0010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0010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0010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0010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0010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0010F"/>
    <w:rPr>
      <w:rFonts w:ascii="Times New Roman" w:hAnsi="Times New Roman" w:cs="Times New Roman"/>
      <w:b/>
      <w:bCs/>
      <w:i/>
      <w:iCs/>
      <w:sz w:val="22"/>
      <w:szCs w:val="22"/>
    </w:rPr>
  </w:style>
  <w:style w:type="paragraph" w:customStyle="1" w:styleId="Style73">
    <w:name w:val="Style73"/>
    <w:basedOn w:val="a0"/>
    <w:uiPriority w:val="99"/>
    <w:rsid w:val="00F0010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0010F"/>
    <w:rPr>
      <w:rFonts w:ascii="Times New Roman" w:hAnsi="Times New Roman" w:cs="Times New Roman"/>
      <w:sz w:val="22"/>
      <w:szCs w:val="22"/>
    </w:rPr>
  </w:style>
  <w:style w:type="paragraph" w:styleId="HTML">
    <w:name w:val="HTML Preformatted"/>
    <w:basedOn w:val="a0"/>
    <w:link w:val="HTML0"/>
    <w:uiPriority w:val="99"/>
    <w:semiHidden/>
    <w:unhideWhenUsed/>
    <w:rsid w:val="00F0010F"/>
    <w:rPr>
      <w:rFonts w:ascii="Consolas" w:hAnsi="Consolas"/>
      <w:sz w:val="20"/>
      <w:szCs w:val="20"/>
    </w:rPr>
  </w:style>
  <w:style w:type="character" w:customStyle="1" w:styleId="HTML0">
    <w:name w:val="Стандартный HTML Знак"/>
    <w:basedOn w:val="a1"/>
    <w:link w:val="HTML"/>
    <w:uiPriority w:val="99"/>
    <w:semiHidden/>
    <w:rsid w:val="00F0010F"/>
    <w:rPr>
      <w:rFonts w:ascii="Consolas" w:eastAsia="Times New Roman" w:hAnsi="Consolas" w:cs="Times New Roman"/>
      <w:noProof/>
      <w:sz w:val="20"/>
      <w:szCs w:val="20"/>
      <w:lang w:val="ro-RO"/>
    </w:rPr>
  </w:style>
  <w:style w:type="character" w:customStyle="1" w:styleId="Style4Char">
    <w:name w:val="Style4 Char"/>
    <w:basedOn w:val="Style3Char"/>
    <w:locked/>
    <w:rsid w:val="00F0010F"/>
    <w:rPr>
      <w:rFonts w:ascii="Times New Roman" w:eastAsia="Calibri" w:hAnsi="Times New Roman" w:cs="Times New Roman"/>
      <w:b/>
      <w:sz w:val="24"/>
      <w:szCs w:val="24"/>
      <w:lang w:val="ru-RU" w:eastAsia="ru-RU" w:bidi="ar-SA"/>
    </w:rPr>
  </w:style>
  <w:style w:type="character" w:customStyle="1" w:styleId="shorttext">
    <w:name w:val="short_text"/>
    <w:rsid w:val="00F0010F"/>
  </w:style>
  <w:style w:type="paragraph" w:styleId="afe">
    <w:name w:val="caption"/>
    <w:basedOn w:val="a0"/>
    <w:qFormat/>
    <w:rsid w:val="00F0010F"/>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F0010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F0010F"/>
    <w:rPr>
      <w:b/>
      <w:bCs/>
    </w:rPr>
  </w:style>
  <w:style w:type="paragraph" w:styleId="aff1">
    <w:name w:val="Revision"/>
    <w:hidden/>
    <w:uiPriority w:val="99"/>
    <w:semiHidden/>
    <w:rsid w:val="00F0010F"/>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F0010F"/>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F0010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F0010F"/>
    <w:pPr>
      <w:spacing w:after="0" w:line="240" w:lineRule="auto"/>
    </w:pPr>
    <w:rPr>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F0010F"/>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F0010F"/>
    <w:pPr>
      <w:spacing w:after="0" w:line="240" w:lineRule="auto"/>
    </w:pPr>
    <w:rPr>
      <w:lang w:val="en-GB"/>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F0010F"/>
    <w:rPr>
      <w:color w:val="808080"/>
    </w:rPr>
  </w:style>
  <w:style w:type="character" w:customStyle="1" w:styleId="ln2paragraf1">
    <w:name w:val="ln2paragraf1"/>
    <w:rsid w:val="00F0010F"/>
    <w:rPr>
      <w:b/>
      <w:bCs/>
    </w:rPr>
  </w:style>
  <w:style w:type="character" w:customStyle="1" w:styleId="ln2tparagraf">
    <w:name w:val="ln2tparagraf"/>
    <w:rsid w:val="00F0010F"/>
  </w:style>
  <w:style w:type="character" w:customStyle="1" w:styleId="ln2tpunct">
    <w:name w:val="ln2tpunct"/>
    <w:rsid w:val="00F0010F"/>
  </w:style>
  <w:style w:type="paragraph" w:customStyle="1" w:styleId="nt">
    <w:name w:val="nt"/>
    <w:basedOn w:val="a0"/>
    <w:rsid w:val="00F0010F"/>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0010F"/>
    <w:rPr>
      <w:b/>
      <w:bCs/>
      <w:sz w:val="26"/>
      <w:szCs w:val="26"/>
    </w:rPr>
  </w:style>
  <w:style w:type="paragraph" w:customStyle="1" w:styleId="DefaultText">
    <w:name w:val="Default Text"/>
    <w:basedOn w:val="a0"/>
    <w:link w:val="DefaultTextChar"/>
    <w:uiPriority w:val="99"/>
    <w:rsid w:val="00F0010F"/>
    <w:rPr>
      <w:szCs w:val="20"/>
      <w:lang w:val="en-US"/>
    </w:rPr>
  </w:style>
  <w:style w:type="character" w:customStyle="1" w:styleId="DefaultTextChar">
    <w:name w:val="Default Text Char"/>
    <w:link w:val="DefaultText"/>
    <w:uiPriority w:val="99"/>
    <w:locked/>
    <w:rsid w:val="00F0010F"/>
    <w:rPr>
      <w:rFonts w:ascii="Times New Roman" w:eastAsia="Times New Roman" w:hAnsi="Times New Roman" w:cs="Times New Roman"/>
      <w:noProof/>
      <w:sz w:val="24"/>
      <w:szCs w:val="20"/>
      <w:lang w:val="en-US"/>
    </w:rPr>
  </w:style>
  <w:style w:type="numbering" w:customStyle="1" w:styleId="12">
    <w:name w:val="Нет списка1"/>
    <w:next w:val="a3"/>
    <w:uiPriority w:val="99"/>
    <w:semiHidden/>
    <w:unhideWhenUsed/>
    <w:rsid w:val="00F0010F"/>
  </w:style>
  <w:style w:type="numbering" w:customStyle="1" w:styleId="26">
    <w:name w:val="Нет списка2"/>
    <w:next w:val="a3"/>
    <w:uiPriority w:val="99"/>
    <w:semiHidden/>
    <w:unhideWhenUsed/>
    <w:rsid w:val="00F0010F"/>
  </w:style>
  <w:style w:type="table" w:customStyle="1" w:styleId="Grigliatabella20">
    <w:name w:val="Griglia tabella2_0"/>
    <w:basedOn w:val="a2"/>
    <w:next w:val="a2"/>
    <w:uiPriority w:val="39"/>
    <w:rsid w:val="00F0010F"/>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Абзац списка Знак"/>
    <w:aliases w:val="HotarirePunct1 Знак"/>
    <w:link w:val="a"/>
    <w:uiPriority w:val="34"/>
    <w:locked/>
    <w:rsid w:val="00F0010F"/>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17</Pages>
  <Words>4315</Words>
  <Characters>24597</Characters>
  <Application>Microsoft Office Word</Application>
  <DocSecurity>0</DocSecurity>
  <Lines>204</Lines>
  <Paragraphs>57</Paragraphs>
  <ScaleCrop>false</ScaleCrop>
  <Company>SPecialiST RePack</Company>
  <LinksUpToDate>false</LinksUpToDate>
  <CharactersWithSpaces>28855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BuhSvetlana</dc:creator>
  <cp:keywords/>
  <dc:description/>
  <cp:lastModifiedBy>BuhSvetlana</cp:lastModifiedBy>
  <cp:revision>2</cp:revision>
  <dcterms:created xsi:type="dcterms:W3CDTF">2024-07-03T08:49:00Z</dcterms:created>
  <dcterms:modified xsi:type="dcterms:W3CDTF">2024-07-03T08:50:00Z</dcterms:modified>
</cp:coreProperties>
</file>