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hanging="0" w:left="0" w:right="0"/>
        <w:jc w:val="center"/>
        <w:rPr>
          <w:rFonts w:ascii="Liberation Serif" w:hAnsi="Liberation Serif" w:eastAsia="Times New Roman"/>
          <w:b/>
          <w:bCs/>
          <w:sz w:val="24"/>
          <w:szCs w:val="24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>CAIET DE SARCINI</w:t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 w:eastAsia="Times New Roman"/>
          <w:b/>
          <w:bCs/>
          <w:sz w:val="24"/>
          <w:szCs w:val="24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>PENTRU  CEREREA OFERTEI  DE  PREŢ</w:t>
      </w:r>
    </w:p>
    <w:p>
      <w:pPr>
        <w:pStyle w:val="Normal"/>
        <w:bidi w:val="0"/>
        <w:ind w:hanging="0" w:left="0" w:right="0"/>
        <w:rPr>
          <w:rFonts w:ascii="Liberation Serif" w:hAnsi="Liberation Serif" w:eastAsia="Times New Roman"/>
          <w:b/>
          <w:bCs/>
          <w:sz w:val="24"/>
          <w:szCs w:val="24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</w:r>
    </w:p>
    <w:p>
      <w:pPr>
        <w:pStyle w:val="Normal"/>
        <w:bidi w:val="0"/>
        <w:ind w:hanging="0" w:left="0" w:right="0"/>
        <w:rPr>
          <w:rFonts w:ascii="Liberation Serif" w:hAnsi="Liberation Serif" w:eastAsia="Times New Roman"/>
          <w:sz w:val="24"/>
          <w:szCs w:val="24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 xml:space="preserve">1. Denumerea beneficiarului de stat   </w:t>
      </w:r>
      <w:r>
        <w:rPr>
          <w:rFonts w:eastAsia="Times New Roman" w:ascii="Times New Roman" w:hAnsi="Times New Roman"/>
          <w:b/>
          <w:bCs/>
          <w:sz w:val="24"/>
          <w:szCs w:val="24"/>
          <w:u w:val="single"/>
          <w:lang w:val="en-US" w:eastAsia="ru-MD"/>
        </w:rPr>
        <w:t>Primaria Radenii Vechi</w:t>
      </w:r>
    </w:p>
    <w:p>
      <w:pPr>
        <w:pStyle w:val="Normal"/>
        <w:bidi w:val="0"/>
        <w:ind w:hanging="0" w:left="0" w:right="0"/>
        <w:rPr>
          <w:rFonts w:ascii="Liberation Serif" w:hAnsi="Liberation Serif" w:eastAsia="Times New Roman"/>
          <w:sz w:val="24"/>
          <w:szCs w:val="24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>2. Organizatorul procedurii de achizi</w:t>
      </w:r>
      <w:r>
        <w:rPr>
          <w:rFonts w:eastAsia="Times New Roman" w:ascii="Times New Roman" w:hAnsi="Times New Roman"/>
          <w:b/>
          <w:bCs/>
          <w:sz w:val="24"/>
          <w:szCs w:val="24"/>
          <w:lang w:val="ro-RO" w:eastAsia="ru-MD"/>
        </w:rPr>
        <w:t>ţ</w:t>
      </w: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>ie</w:t>
      </w:r>
      <w:r>
        <w:rPr>
          <w:rFonts w:eastAsia="Times New Roman" w:ascii="Times New Roman" w:hAnsi="Times New Roman"/>
          <w:sz w:val="24"/>
          <w:szCs w:val="24"/>
          <w:lang w:val="en-US" w:eastAsia="ru-MD"/>
        </w:rPr>
        <w:t xml:space="preserve"> </w:t>
      </w:r>
      <w:r>
        <w:rPr>
          <w:rFonts w:eastAsia="Times New Roman" w:ascii="Times New Roman" w:hAnsi="Times New Roman"/>
          <w:b/>
          <w:bCs/>
          <w:sz w:val="24"/>
          <w:szCs w:val="24"/>
          <w:u w:val="single"/>
          <w:lang w:val="en-US" w:eastAsia="ru-MD"/>
        </w:rPr>
        <w:t>Primaria Radenii Vechi</w:t>
      </w:r>
    </w:p>
    <w:p>
      <w:pPr>
        <w:pStyle w:val="Normal"/>
        <w:bidi w:val="0"/>
        <w:ind w:hanging="0" w:left="0" w:right="0"/>
        <w:rPr>
          <w:rFonts w:ascii="Liberation Serif" w:hAnsi="Liberation Serif" w:eastAsia="Times New Roman"/>
          <w:b/>
          <w:bCs/>
          <w:sz w:val="24"/>
          <w:szCs w:val="24"/>
          <w:u w:val="single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>3. Obiectul achiziţiilor</w:t>
      </w:r>
      <w:r>
        <w:rPr>
          <w:rFonts w:eastAsia="Times New Roman" w:ascii="Times New Roman" w:hAnsi="Times New Roman"/>
          <w:sz w:val="24"/>
          <w:szCs w:val="24"/>
          <w:lang w:val="en-US" w:eastAsia="ru-MD"/>
        </w:rPr>
        <w:t xml:space="preserve">  </w:t>
      </w:r>
      <w:r>
        <w:rPr>
          <w:rFonts w:eastAsia="Times New Roman" w:ascii="Times New Roman" w:hAnsi="Times New Roman"/>
          <w:b/>
          <w:bCs/>
          <w:sz w:val="24"/>
          <w:szCs w:val="24"/>
          <w:u w:val="single"/>
          <w:lang w:val="en-US" w:eastAsia="ru-MD"/>
        </w:rPr>
        <w:t>Construirea conductei de aductiune  a apei de la sonda 1446 spre turnurile de apa a s.Radenii Vechi rnul  Ungheni</w:t>
      </w:r>
    </w:p>
    <w:p>
      <w:pPr>
        <w:pStyle w:val="Normal"/>
        <w:bidi w:val="0"/>
        <w:ind w:hanging="0" w:left="0" w:right="0"/>
        <w:rPr>
          <w:rFonts w:ascii="Liberation Serif" w:hAnsi="Liberation Serif" w:eastAsia="Times New Roman"/>
          <w:b/>
          <w:bCs/>
          <w:sz w:val="24"/>
          <w:szCs w:val="24"/>
          <w:u w:val="single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u w:val="single"/>
          <w:lang w:val="en-US" w:eastAsia="ru-MD"/>
        </w:rPr>
      </w:r>
    </w:p>
    <w:p>
      <w:pPr>
        <w:pStyle w:val="Normal"/>
        <w:bidi w:val="0"/>
        <w:ind w:hanging="0" w:left="0" w:right="0"/>
        <w:rPr>
          <w:rFonts w:ascii="Liberation Serif" w:hAnsi="Liberation Serif" w:eastAsia="Times New Roman"/>
          <w:b/>
          <w:bCs/>
          <w:sz w:val="24"/>
          <w:szCs w:val="24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</w:r>
    </w:p>
    <w:p>
      <w:pPr>
        <w:pStyle w:val="Normal"/>
        <w:bidi w:val="0"/>
        <w:ind w:hanging="0" w:left="0" w:right="0"/>
        <w:rPr>
          <w:rFonts w:ascii="Liberation Serif" w:hAnsi="Liberation Serif" w:eastAsia="Times New Roman"/>
          <w:b/>
          <w:bCs/>
          <w:sz w:val="24"/>
          <w:szCs w:val="24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 xml:space="preserve"> </w:t>
      </w: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>Reteaua exterioara de alimentare cu apa</w:t>
      </w:r>
    </w:p>
    <w:p>
      <w:pPr>
        <w:pStyle w:val="Normal"/>
        <w:bidi w:val="0"/>
        <w:ind w:hanging="0" w:left="0" w:right="0"/>
        <w:rPr>
          <w:rFonts w:ascii="Liberation Serif" w:hAnsi="Liberation Serif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</w:r>
    </w:p>
    <w:tbl>
      <w:tblPr>
        <w:tblW w:w="5528" w:type="dxa"/>
        <w:jc w:val="left"/>
        <w:tblInd w:w="45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8"/>
      </w:tblGrid>
      <w:tr>
        <w:trPr/>
        <w:tc>
          <w:tcPr>
            <w:tcW w:w="5528" w:type="dxa"/>
            <w:tcBorders/>
            <w:shd w:color="auto" w:fill="FFFFFF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hanging="0" w:left="0" w:right="0"/>
        <w:rPr>
          <w:rFonts w:ascii="Liberation Serif" w:hAnsi="Liberation Serif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ro-RO"/>
        </w:rPr>
        <w:t>I</w:t>
      </w:r>
      <w:r>
        <w:rPr>
          <w:rFonts w:ascii="Times New Roman" w:hAnsi="Times New Roman"/>
          <w:sz w:val="24"/>
          <w:szCs w:val="24"/>
          <w:lang w:val="en-US"/>
        </w:rPr>
        <w:t>ntocmit in preţuri  curente 15.06.2026</w:t>
      </w:r>
    </w:p>
    <w:tbl>
      <w:tblPr>
        <w:tblW w:w="10490" w:type="dxa"/>
        <w:jc w:val="left"/>
        <w:tblInd w:w="-4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5"/>
        <w:gridCol w:w="3545"/>
        <w:gridCol w:w="849"/>
        <w:gridCol w:w="1276"/>
        <w:gridCol w:w="1417"/>
        <w:gridCol w:w="1418"/>
      </w:tblGrid>
      <w:tr>
        <w:trPr>
          <w:trHeight w:val="314" w:hRule="atLeast"/>
          <w:cantSplit w:val="true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-108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№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-120" w:right="-108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Simbol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norme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şi Cod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rFonts w:ascii="Liberation Serif" w:hAnsi="Liberation Serif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>
          <w:cantSplit w:val="true"/>
        </w:trPr>
        <w:tc>
          <w:tcPr>
            <w:tcW w:w="70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hanging="0" w:left="0" w:right="0"/>
        <w:rPr>
          <w:rFonts w:ascii="Liberation Serif" w:hAnsi="Liberation Serif"/>
          <w:sz w:val="2"/>
          <w:szCs w:val="2"/>
          <w:lang w:val="en-US"/>
        </w:rPr>
      </w:pPr>
      <w:r>
        <w:rPr>
          <w:rFonts w:ascii="Times New Roman" w:hAnsi="Times New Roman"/>
          <w:sz w:val="2"/>
          <w:szCs w:val="2"/>
          <w:lang w:val="en-US"/>
        </w:rPr>
      </w:r>
    </w:p>
    <w:tbl>
      <w:tblPr>
        <w:tblW w:w="10490" w:type="dxa"/>
        <w:jc w:val="left"/>
        <w:tblInd w:w="-4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35"/>
        <w:gridCol w:w="1099"/>
        <w:gridCol w:w="176"/>
        <w:gridCol w:w="2599"/>
        <w:gridCol w:w="236"/>
        <w:gridCol w:w="710"/>
        <w:gridCol w:w="505"/>
        <w:gridCol w:w="344"/>
        <w:gridCol w:w="142"/>
        <w:gridCol w:w="933"/>
        <w:gridCol w:w="201"/>
        <w:gridCol w:w="1217"/>
        <w:gridCol w:w="200"/>
        <w:gridCol w:w="1418"/>
      </w:tblGrid>
      <w:tr>
        <w:trPr>
          <w:cantSplit w:val="true"/>
        </w:trPr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20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</w:t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1.1. Montarea tevelor si armaturii</w:t>
            </w:r>
          </w:p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AcB01A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Montarea armaturilor cu actionare manuala sau mecanica (vane, robinete, ventile), la conductele de alimentare cu apa sau de canalizare, avind diametrul de 50-100 mm  (Установка арматуры, ручным или механическим способом (задвижки, краны, вентили), на трубопроводы водоснабжения или канализации, диаметр 50-100 мм)Vana din fonta d=65 mm PN=16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Instalator alimentari apa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1,1000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2 874117300000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Armaturi cu actionarea manuala sau mecanica Vana din fonta d=65 mm PN=16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2,0800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AcA10B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Montarea in pamint a tevilor din polietilena de presiune, de inalta densitate, destinate alimentarilor cu apa, asamblate prin sudura cap la cap, conform normativului I-6-PE,  avind diametrul de 160-200 mm  (Подземная укладка напорных полиэтиленовых труб, высокой плотности, для водоснабжения, соединенные путем стыковой сварки, согласно нормативу,  диаметр 160-200 мм) Tub de protactie PE100 SDR26 PN6 d=180x6,9 L=200 mm 20 buc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4,0000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Instalator alimentari apa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0,6640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2521216701001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Teava din polietilena PE100 SDR 17 PN10 d=180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4,1209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Bile, manele D=15-18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0,0146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Tirfor 1,5 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Masina de sudura PE cu toate accesoriile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0,0500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AcF09A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Placa indicatoare montata la camine, rezervoare sau alte constructii si instalatii pentru alimentare cu apa si canalizare  (Указатель, установленный в колодцах, резервуарах или в других строениях и установках для водоснабжения и канализации)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7,0000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Tinichigiu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7,2100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2710403600502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Tabla otel neagra 1x1000x2000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1,8746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2874115826423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Surub hexagonal M-6x30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28,8400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2874115840924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Piulite hexaf.uzual   S 922 OL 37 B M 6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28,8400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2430116100797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Grund miniu de plumb V-351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0,1081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2430116103220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Vopsea alba V-101-1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0,1442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0,6700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2,3785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0,2680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125,8092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0,5304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0,4896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Apa pentru mortare si betoane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0,1836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0,0382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0,0121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0,4020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0,1675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Montarea tevelor si armaturii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1.2. Tuburi Sistemul A0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AcF11C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Spalarea tevilor din PVC, fonta, azbociment, polietilena etc 20-75 mm, de apa potabila dupa montarea si imbinarea, inaintea receptiei  (Промывка чугунного, ПВХ, асбестоцементного, полиэтиленового и.т.д. трубопровода питьевой воды, 20-75 мм, после укладки и соединения, перед приемкой)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2 700,6000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Instalator alimentari apa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108,0240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potabila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270,0600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Autocisterna 5-8 t cu dispozitive de stropire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81,0180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AcF12A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Proba de presiune a conductelor din polietilena montate in transee pentru retelele de alimentare cu apa si canalizare, cu diametru  pina la 100 mm (Гидравлическое испытание полиэтиленовых трубопроводов, прокладываемых в траншеях для сетей водопровода и канализации, диаметром  до 100 мм)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2 700,6000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Montator conducte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11,0725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Compresor 5m3/min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5,4012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Tuburi Sistemul A0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Asigurari socia;e si medicale (VR) * 24 %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24 %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keepLines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Cheltuieli de transport (VR) * 4 %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4 %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keepLines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Cheltuieli de depozit (VR) * 2 %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2 %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keepLines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keepLines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6 %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keepLines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>
          <w:trHeight w:val="20" w:hRule="exact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011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r>
          </w:p>
        </w:tc>
        <w:tc>
          <w:tcPr>
            <w:tcW w:w="1215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>
          <w:trHeight w:val="20" w:hRule="atLeast"/>
        </w:trPr>
        <w:tc>
          <w:tcPr>
            <w:tcW w:w="674" w:type="dxa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011" w:type="dxa"/>
            <w:gridSpan w:val="3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15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6"/>
                <w:szCs w:val="6"/>
                <w:lang w:val="en-US"/>
              </w:rPr>
            </w:pPr>
            <w:r>
              <w:rPr>
                <w:rFonts w:ascii="Times New Roman" w:hAnsi="Times New Roman"/>
                <w:sz w:val="6"/>
                <w:szCs w:val="6"/>
                <w:lang w:val="en-US"/>
              </w:rPr>
            </w:r>
          </w:p>
        </w:tc>
      </w:tr>
      <w:tr>
        <w:trPr>
          <w:trHeight w:val="318" w:hRule="atLeast"/>
        </w:trPr>
        <w:tc>
          <w:tcPr>
            <w:tcW w:w="70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2599" w:type="dxa"/>
            <w:tcBorders>
              <w:left w:val="single" w:sz="6" w:space="0" w:color="000000"/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Total deviz: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51" w:type="dxa"/>
            <w:gridSpan w:val="3"/>
            <w:tcBorders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gridSpan w:val="2"/>
            <w:tcBorders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</w:tbl>
    <w:p>
      <w:pPr>
        <w:pStyle w:val="Normal"/>
        <w:bidi w:val="0"/>
        <w:ind w:hanging="0" w:left="0" w:right="0"/>
        <w:rPr>
          <w:rFonts w:ascii="Liberation Serif" w:hAnsi="Liberation Serif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tbl>
      <w:tblPr>
        <w:tblW w:w="5954" w:type="dxa"/>
        <w:jc w:val="left"/>
        <w:tblInd w:w="19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4405"/>
      </w:tblGrid>
      <w:tr>
        <w:trPr/>
        <w:tc>
          <w:tcPr>
            <w:tcW w:w="154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0"/>
              <w:rPr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Intocmit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5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176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>
          <w:trHeight w:val="355" w:hRule="atLeast"/>
        </w:trPr>
        <w:tc>
          <w:tcPr>
            <w:tcW w:w="5953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                                     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(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funcţia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semnătura, numele, prenumele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)</w:t>
            </w:r>
          </w:p>
        </w:tc>
      </w:tr>
      <w:tr>
        <w:trPr/>
        <w:tc>
          <w:tcPr>
            <w:tcW w:w="154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0"/>
              <w:rPr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5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176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/>
        <w:tc>
          <w:tcPr>
            <w:tcW w:w="5953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                                    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(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funcţia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semnătura, numele, prenumele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)</w:t>
            </w:r>
          </w:p>
        </w:tc>
      </w:tr>
    </w:tbl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sectPr>
      <w:type w:val="nextPage"/>
      <w:pgSz w:w="11906" w:h="16838"/>
      <w:pgMar w:left="1418" w:right="454" w:gutter="0" w:header="0" w:top="851" w:footer="0" w:bottom="85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variable"/>
  </w:font>
  <w:font w:name="Liberation Serif">
    <w:altName w:val="Times New Roman"/>
    <w:charset w:val="00"/>
    <w:family w:val="auto"/>
    <w:pitch w:val="variable"/>
  </w:font>
  <w:font w:name="Arial CYR">
    <w:charset w:val="00"/>
    <w:family w:val="auto"/>
    <w:pitch w:val="variable"/>
  </w:font>
</w:fonts>
</file>

<file path=word/settings.xml><?xml version="1.0" encoding="utf-8"?>
<w:settings xmlns:w="http://schemas.openxmlformats.org/wordprocessingml/2006/main">
  <w:zoom w:percent="180"/>
  <w:defaultTabStop w:val="720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jc w:val="left"/>
      <w:textAlignment w:val="auto"/>
    </w:pPr>
    <w:rPr>
      <w:rFonts w:ascii="Times New Roman" w:hAnsi="Times New Roman" w:eastAsia="Cambria Math" w:cs="Times New Roman"/>
      <w:color w:val="auto"/>
      <w:kern w:val="2"/>
      <w:sz w:val="20"/>
      <w:szCs w:val="20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Style14">
    <w:name w:val="Основной шрифт"/>
    <w:qFormat/>
    <w:rPr/>
  </w:style>
  <w:style w:type="character" w:styleId="CorptextCaracter">
    <w:name w:val="Corp text Caracter"/>
    <w:basedOn w:val="DefaultParagraphFont"/>
    <w:qFormat/>
    <w:rPr/>
  </w:style>
  <w:style w:type="character" w:styleId="Corptext2Caracter">
    <w:name w:val="Corp text 2 Caracter"/>
    <w:basedOn w:val="DefaultParagraphFont"/>
    <w:qFormat/>
    <w:rPr/>
  </w:style>
  <w:style w:type="character" w:styleId="AntetCaracter">
    <w:name w:val="Antet Caracter"/>
    <w:basedOn w:val="DefaultParagraphFont"/>
    <w:qFormat/>
    <w:rPr>
      <w:rFonts w:ascii="Arial" w:hAnsi="Arial" w:cs="Arial"/>
      <w:lang w:val="en-US" w:eastAsia="ar-SA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widowControl/>
      <w:jc w:val="center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NormalTable">
    <w:name w:val="Normal Table"/>
    <w:qFormat/>
    <w:pPr>
      <w:widowControl/>
      <w:bidi w:val="0"/>
      <w:spacing w:lineRule="auto" w:line="276" w:before="0" w:after="160"/>
      <w:jc w:val="left"/>
      <w:textAlignment w:val="auto"/>
    </w:pPr>
    <w:rPr>
      <w:rFonts w:ascii="Times New Roman" w:hAnsi="Times New Roman" w:eastAsia="Cambria Math" w:cs="Times New Roman"/>
      <w:color w:val="auto"/>
      <w:kern w:val="2"/>
      <w:sz w:val="24"/>
      <w:szCs w:val="24"/>
      <w:lang w:val="ru-MD" w:eastAsia="ru-MD" w:bidi="ar-SA"/>
    </w:rPr>
  </w:style>
  <w:style w:type="paragraph" w:styleId="BodyText2">
    <w:name w:val="Body Text 2"/>
    <w:basedOn w:val="Normal"/>
    <w:qFormat/>
    <w:pPr>
      <w:widowControl/>
      <w:jc w:val="center"/>
      <w:textAlignment w:val="auto"/>
    </w:pPr>
    <w:rPr>
      <w:rFonts w:cs="Times New Roman"/>
      <w:sz w:val="22"/>
      <w:szCs w:val="22"/>
      <w:lang w:val="ru-RU" w:eastAsia="ru-RU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widowControl/>
      <w:tabs>
        <w:tab w:val="clear" w:pos="720"/>
        <w:tab w:val="center" w:pos="4677" w:leader="none"/>
        <w:tab w:val="right" w:pos="9355" w:leader="none"/>
      </w:tabs>
      <w:suppressAutoHyphens w:val="true"/>
      <w:jc w:val="left"/>
      <w:textAlignment w:val="auto"/>
    </w:pPr>
    <w:rPr>
      <w:rFonts w:ascii="Arial" w:hAnsi="Arial" w:cs="Arial"/>
      <w:sz w:val="20"/>
      <w:szCs w:val="20"/>
      <w:lang w:val="ru-RU" w:eastAsia="ar-SA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LibreOffice/24.8.1.2$Linux_X86_64 LibreOffice_project/87fa9aec1a63e70835390b81c40bb8993f1d4ff6</Application>
  <AppVersion>15.0000</AppVersion>
  <Pages>99</Pages>
  <Words>739</Words>
  <Characters>4948</Characters>
  <CharactersWithSpaces>4218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2026-07-03T13:20:00Z</dcterms:created>
  <dc:creator>Valeriu</dc:creator>
  <dc:description/>
  <dc:language>en-US</dc:language>
  <cp:lastModifiedBy/>
  <dcterms:modified xsi:type="dcterms:W3CDTF">2026-07-03T13:26:00Z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Valeriu</vt:lpwstr>
  </property>
</Properties>
</file>