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tabs>
          <w:tab w:val="left" w:pos="5103"/>
          <w:tab w:val="left" w:pos="10348"/>
        </w:tabs>
        <w:jc w:val="center"/>
        <w:rPr>
          <w:rFonts w:hint="default"/>
          <w:b/>
          <w:sz w:val="28"/>
          <w:szCs w:val="28"/>
          <w:lang w:eastAsia="ru-RU"/>
        </w:rPr>
      </w:pPr>
      <w:r>
        <w:rPr>
          <w:b/>
          <w:u w:val="single"/>
          <w:lang w:val="zh-CN"/>
        </w:rPr>
        <w:t>procedura de achiziție</w:t>
      </w:r>
      <w:r>
        <w:rPr>
          <w:b/>
          <w:lang w:val="zh-CN"/>
        </w:rPr>
        <w:t xml:space="preserve">:   </w:t>
      </w:r>
      <w:r>
        <w:rPr>
          <w:rFonts w:hint="default"/>
          <w:b/>
        </w:rPr>
        <w:t>Licitație Publică</w:t>
      </w:r>
    </w:p>
    <w:p>
      <w:pPr>
        <w:jc w:val="center"/>
        <w:rPr>
          <w:rFonts w:hint="default"/>
          <w:b/>
          <w:lang w:eastAsia="ru-RU"/>
        </w:rPr>
      </w:pPr>
      <w:r>
        <w:rPr>
          <w:rFonts w:hint="default"/>
          <w:b/>
          <w:sz w:val="28"/>
          <w:szCs w:val="28"/>
          <w:lang w:eastAsia="ru-RU"/>
        </w:rPr>
        <w:t>Produse Petroliere</w:t>
      </w: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392179964"/>
      <w:bookmarkStart w:id="10" w:name="_Toc449539025"/>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79965"/>
      <w:bookmarkStart w:id="13" w:name="_Toc39218013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80137"/>
      <w:bookmarkStart w:id="16" w:name="_Toc392179966"/>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449539028"/>
      <w:bookmarkStart w:id="19" w:name="_Toc39218013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pStyle w:val="3"/>
        <w:numPr>
          <w:ilvl w:val="0"/>
          <w:numId w:val="8"/>
        </w:numPr>
        <w:tabs>
          <w:tab w:val="left" w:pos="851"/>
          <w:tab w:val="left" w:pos="993"/>
        </w:tabs>
        <w:spacing w:after="120"/>
        <w:rPr>
          <w:lang w:val="ro-RO"/>
        </w:rPr>
      </w:pPr>
      <w:bookmarkStart w:id="118" w:name="_GoBack"/>
      <w:bookmarkEnd w:id="118"/>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3089"/>
      <w:bookmarkStart w:id="48" w:name="_Toc449692045"/>
      <w:bookmarkStart w:id="49" w:name="_Toc449632597"/>
      <w:bookmarkStart w:id="50" w:name="_Toc449630844"/>
      <w:bookmarkStart w:id="51" w:name="_Toc392222624"/>
      <w:bookmarkStart w:id="52" w:name="_Toc392255170"/>
      <w:bookmarkStart w:id="53" w:name="_Toc392254909"/>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0846"/>
      <w:bookmarkStart w:id="57" w:name="_Toc449692047"/>
      <w:bookmarkStart w:id="58" w:name="_Toc449633091"/>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rPr>
          <w:trHeight w:val="697" w:hRule="atLeast"/>
        </w:trPr>
        <w:tc>
          <w:tcPr>
            <w:tcW w:w="9744" w:type="dxa"/>
            <w:vAlign w:val="center"/>
          </w:tcPr>
          <w:p>
            <w:pPr>
              <w:spacing w:line="360" w:lineRule="auto"/>
              <w:jc w:val="both"/>
            </w:pPr>
          </w:p>
        </w:tc>
      </w:tr>
      <w:tr>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3157"/>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spacing w:after="200" w:line="276" w:lineRule="auto"/>
        <w:ind w:left="5040" w:firstLine="720"/>
        <w:jc w:val="both"/>
        <w:rPr>
          <w:rFonts w:eastAsia="Calibri"/>
          <w:i/>
          <w:spacing w:val="-1"/>
        </w:rPr>
      </w:pP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rFonts w:hint="default"/>
          <w:bCs/>
          <w:sz w:val="24"/>
          <w:szCs w:val="24"/>
        </w:rPr>
      </w:pPr>
      <w:r>
        <w:rPr>
          <w:rFonts w:hint="default"/>
          <w:bCs/>
          <w:sz w:val="24"/>
          <w:szCs w:val="24"/>
        </w:rPr>
        <w:t>Produse Petroliere</w:t>
      </w:r>
    </w:p>
    <w:p>
      <w:pPr>
        <w:jc w:val="both"/>
        <w:rPr>
          <w:bCs/>
          <w:sz w:val="24"/>
          <w:szCs w:val="24"/>
        </w:rPr>
      </w:pPr>
      <w:r>
        <w:rPr>
          <w:bCs/>
          <w:sz w:val="24"/>
          <w:szCs w:val="24"/>
        </w:rPr>
        <w:t>Autoritatea contractantă</w:t>
      </w:r>
      <w:r>
        <w:rPr>
          <w:rFonts w:hint="default"/>
          <w:bCs/>
          <w:sz w:val="24"/>
          <w:szCs w:val="24"/>
        </w:rPr>
        <w:t xml:space="preserve"> ÎM REI Lumteh, situată în mun. Chișinău, str. S. Lazo 48a.</w:t>
      </w:r>
      <w:r>
        <w:rPr>
          <w:bCs/>
          <w:sz w:val="24"/>
          <w:szCs w:val="24"/>
        </w:rPr>
        <w:t xml:space="preserve">                                                                              </w:t>
      </w:r>
    </w:p>
    <w:p>
      <w:pPr>
        <w:keepNext/>
        <w:keepLines/>
        <w:outlineLvl w:val="1"/>
        <w:rPr>
          <w:rFonts w:eastAsiaTheme="majorEastAsia"/>
          <w:b/>
          <w:sz w:val="24"/>
          <w:szCs w:val="24"/>
        </w:rPr>
      </w:pPr>
    </w:p>
    <w:p>
      <w:pPr>
        <w:ind w:left="709"/>
        <w:rPr>
          <w:b/>
          <w:sz w:val="24"/>
          <w:szCs w:val="24"/>
        </w:rPr>
      </w:pPr>
      <w:r>
        <w:rPr>
          <w:b/>
          <w:sz w:val="24"/>
          <w:szCs w:val="24"/>
        </w:rPr>
        <w:t>1. Descriere generală. Informaţii</w:t>
      </w:r>
    </w:p>
    <w:p>
      <w:pPr>
        <w:ind w:firstLine="720" w:firstLineChars="0"/>
        <w:jc w:val="both"/>
        <w:rPr>
          <w:rFonts w:hint="default"/>
          <w:bCs/>
          <w:sz w:val="20"/>
          <w:szCs w:val="20"/>
        </w:rPr>
      </w:pPr>
      <w:bookmarkStart w:id="108" w:name="_Hlk65747910"/>
      <w:r>
        <w:rPr>
          <w:rFonts w:hint="default"/>
          <w:bCs/>
          <w:sz w:val="24"/>
          <w:szCs w:val="24"/>
        </w:rPr>
        <w:t>Produse Petroliere, și anume Benzina Premium 95</w:t>
      </w:r>
      <w:r>
        <w:rPr>
          <w:rFonts w:hint="default"/>
          <w:bCs/>
          <w:sz w:val="20"/>
          <w:szCs w:val="20"/>
        </w:rPr>
        <w:t>.</w:t>
      </w:r>
    </w:p>
    <w:p>
      <w:pPr>
        <w:ind w:firstLine="709"/>
        <w:jc w:val="both"/>
        <w:rPr>
          <w:b/>
        </w:rPr>
      </w:pPr>
      <w:r>
        <w:rPr>
          <w:b/>
        </w:rPr>
        <w:t>2.  Utilizarea, păstrarea, protecţia, calitatea</w:t>
      </w:r>
      <w:bookmarkStart w:id="109" w:name="_Hlk63425519"/>
      <w:r>
        <w:rPr>
          <w:b/>
        </w:rPr>
        <w:t xml:space="preserve"> produselor/serviciilor</w:t>
      </w:r>
      <w:bookmarkEnd w:id="109"/>
    </w:p>
    <w:p>
      <w:pPr>
        <w:pStyle w:val="3"/>
        <w:numPr>
          <w:ilvl w:val="0"/>
          <w:numId w:val="0"/>
        </w:numPr>
        <w:ind w:left="709" w:leftChars="0"/>
        <w:rPr>
          <w:b/>
        </w:rPr>
      </w:pPr>
      <w:r>
        <w:rPr>
          <w:rFonts w:hint="default"/>
          <w:bCs/>
        </w:rPr>
        <w:tab/>
      </w:r>
      <w:r>
        <w:rPr>
          <w:rFonts w:hint="default"/>
          <w:bCs/>
        </w:rPr>
        <w:t xml:space="preserve">Benzina va fi livrată în vrac conform comenzilor autorității contractante, </w:t>
      </w:r>
    </w:p>
    <w:p>
      <w:pPr>
        <w:pStyle w:val="3"/>
        <w:numPr>
          <w:ilvl w:val="0"/>
          <w:numId w:val="19"/>
        </w:numPr>
        <w:rPr>
          <w:b/>
        </w:rPr>
      </w:pPr>
      <w:r>
        <w:rPr>
          <w:b/>
        </w:rPr>
        <w:t>Cerinţe privind calculul costului/prețului</w:t>
      </w:r>
    </w:p>
    <w:p>
      <w:pPr>
        <w:pStyle w:val="3"/>
        <w:numPr>
          <w:ilvl w:val="0"/>
          <w:numId w:val="19"/>
        </w:numPr>
        <w:tabs>
          <w:tab w:val="left" w:pos="993"/>
          <w:tab w:val="clear" w:pos="1134"/>
        </w:tabs>
        <w:ind w:left="1069" w:leftChars="0" w:hanging="360" w:firstLineChars="0"/>
        <w:rPr>
          <w:b/>
        </w:rPr>
      </w:pPr>
      <w:r>
        <w:rPr>
          <w:color w:val="auto"/>
          <w:sz w:val="22"/>
          <w:szCs w:val="22"/>
          <w:lang w:val="en-US"/>
        </w:rPr>
        <w:t xml:space="preserve"> </w:t>
      </w:r>
      <w:r>
        <w:rPr>
          <w:color w:val="auto"/>
          <w:sz w:val="24"/>
          <w:szCs w:val="24"/>
          <w:shd w:val="clear" w:color="auto" w:fill="FFFF00"/>
          <w:lang w:val="en-US"/>
        </w:rPr>
        <w:t xml:space="preserve">Prețul </w:t>
      </w:r>
      <w:r>
        <w:rPr>
          <w:rFonts w:hint="default"/>
          <w:color w:val="auto"/>
          <w:sz w:val="24"/>
          <w:szCs w:val="24"/>
          <w:shd w:val="clear" w:color="auto" w:fill="FFFF00"/>
          <w:lang w:val="en-US"/>
        </w:rPr>
        <w:t>a unui litru carburantului</w:t>
      </w:r>
      <w:r>
        <w:rPr>
          <w:rFonts w:hint="default"/>
          <w:color w:val="auto"/>
          <w:sz w:val="24"/>
          <w:szCs w:val="24"/>
          <w:shd w:val="clear" w:color="auto" w:fill="FFFF00"/>
        </w:rPr>
        <w:t>(benzin)</w:t>
      </w:r>
      <w:r>
        <w:rPr>
          <w:rFonts w:hint="default"/>
          <w:color w:val="auto"/>
          <w:sz w:val="24"/>
          <w:szCs w:val="24"/>
          <w:shd w:val="clear" w:color="auto" w:fill="FFFF00"/>
          <w:lang w:val="en-US"/>
        </w:rPr>
        <w:t xml:space="preserve"> livrat </w:t>
      </w:r>
      <w:r>
        <w:rPr>
          <w:color w:val="auto"/>
          <w:sz w:val="24"/>
          <w:szCs w:val="24"/>
          <w:shd w:val="clear" w:color="auto" w:fill="FFFF00"/>
          <w:lang w:val="en-US"/>
        </w:rPr>
        <w:t>va fi determinat conform listei de prețuri ofertantului la data livrării cu aplicarea discontului</w:t>
      </w:r>
      <w:r>
        <w:rPr>
          <w:rFonts w:hint="default"/>
          <w:color w:val="auto"/>
          <w:sz w:val="24"/>
          <w:szCs w:val="24"/>
          <w:shd w:val="clear" w:color="auto" w:fill="FFFF00"/>
          <w:lang w:val="en-US"/>
        </w:rPr>
        <w:t xml:space="preserve">, </w:t>
      </w:r>
      <w:r>
        <w:rPr>
          <w:color w:val="auto"/>
          <w:sz w:val="24"/>
          <w:szCs w:val="24"/>
          <w:shd w:val="clear" w:color="auto" w:fill="FFFF00"/>
          <w:lang w:val="en-US"/>
        </w:rPr>
        <w:t>declarat</w:t>
      </w:r>
      <w:r>
        <w:rPr>
          <w:color w:val="auto"/>
          <w:shd w:val="clear" w:color="auto" w:fill="FFFF00"/>
          <w:lang w:val="en-US"/>
        </w:rPr>
        <w:t xml:space="preserve"> </w:t>
      </w:r>
      <w:r>
        <w:rPr>
          <w:color w:val="auto"/>
          <w:sz w:val="24"/>
          <w:szCs w:val="24"/>
          <w:shd w:val="clear" w:color="auto" w:fill="FFFF00"/>
          <w:lang w:val="en-US"/>
        </w:rPr>
        <w:t>de către ofertant în oferta sa.</w:t>
      </w:r>
      <w:r>
        <w:rPr>
          <w:rFonts w:hint="default" w:ascii="Times New Roman" w:hAnsi="Times New Roman" w:eastAsia="SimSun" w:cs="Times New Roman"/>
          <w:color w:val="auto"/>
          <w:kern w:val="0"/>
          <w:sz w:val="24"/>
          <w:szCs w:val="24"/>
          <w:lang w:val="en-US" w:eastAsia="zh-CN" w:bidi="ar"/>
        </w:rPr>
        <w:t xml:space="preserve"> Discount-ul va fi specificat expres în ofertă şi ulterior în contract, rămînînd neschimbat pe întreaga perioadă de valabilitate al acestuia.</w:t>
      </w:r>
      <w:r>
        <w:rPr>
          <w:rFonts w:hint="default" w:eastAsia="SimSun" w:cs="Times New Roman"/>
          <w:color w:val="auto"/>
          <w:kern w:val="0"/>
          <w:sz w:val="24"/>
          <w:szCs w:val="24"/>
          <w:lang w:val="en-US" w:eastAsia="zh-CN" w:bidi="ar"/>
        </w:rPr>
        <w:t xml:space="preserve"> </w:t>
      </w:r>
      <w:r>
        <w:rPr>
          <w:rFonts w:hint="default" w:ascii="Times New Roman" w:hAnsi="Times New Roman" w:eastAsia="SimSun" w:cs="Times New Roman"/>
          <w:color w:val="auto"/>
          <w:kern w:val="0"/>
          <w:sz w:val="24"/>
          <w:szCs w:val="24"/>
          <w:lang w:val="en-US" w:eastAsia="zh-CN" w:bidi="ar"/>
        </w:rPr>
        <w:t>Furnizorul</w:t>
      </w:r>
      <w:r>
        <w:rPr>
          <w:rFonts w:hint="default" w:eastAsia="SimSun" w:cs="Times New Roman"/>
          <w:color w:val="auto"/>
          <w:kern w:val="0"/>
          <w:sz w:val="24"/>
          <w:szCs w:val="24"/>
          <w:lang w:val="en-US" w:eastAsia="zh-CN" w:bidi="ar"/>
        </w:rPr>
        <w:t>/V</w:t>
      </w:r>
      <w:r>
        <w:rPr>
          <w:rFonts w:hint="default" w:eastAsia="SimSun" w:cs="Times New Roman"/>
          <w:color w:val="auto"/>
          <w:kern w:val="0"/>
          <w:sz w:val="24"/>
          <w:szCs w:val="24"/>
          <w:lang w:eastAsia="zh-CN" w:bidi="ar"/>
        </w:rPr>
        <w:t>înzătorul</w:t>
      </w:r>
      <w:r>
        <w:rPr>
          <w:rFonts w:hint="default" w:ascii="Times New Roman" w:hAnsi="Times New Roman" w:eastAsia="SimSun" w:cs="Times New Roman"/>
          <w:color w:val="auto"/>
          <w:kern w:val="0"/>
          <w:sz w:val="24"/>
          <w:szCs w:val="24"/>
          <w:lang w:val="en-US" w:eastAsia="zh-CN" w:bidi="ar"/>
        </w:rPr>
        <w:t xml:space="preserve"> va factura contravaloarea produselor conform preţului afişat la zi şi discountul aplicat.</w:t>
      </w:r>
    </w:p>
    <w:p>
      <w:pPr>
        <w:pStyle w:val="3"/>
        <w:numPr>
          <w:ilvl w:val="0"/>
          <w:numId w:val="19"/>
        </w:numPr>
        <w:tabs>
          <w:tab w:val="left" w:pos="993"/>
          <w:tab w:val="clear" w:pos="1134"/>
        </w:tabs>
        <w:ind w:left="1069" w:leftChars="0" w:hanging="360" w:firstLineChars="0"/>
        <w:rPr>
          <w:b/>
        </w:rPr>
      </w:pPr>
      <w:r>
        <w:rPr>
          <w:b/>
        </w:rPr>
        <w:t>Echipamentele, instalaţiile, utilajele, sculele, instrumentele, dispozitivele şi alte obiecte necesare pentru prestarea serviciilor</w:t>
      </w:r>
    </w:p>
    <w:p>
      <w:pPr>
        <w:ind w:firstLine="709"/>
        <w:jc w:val="both"/>
        <w:rPr>
          <w:rFonts w:hint="default"/>
        </w:rPr>
      </w:pPr>
      <w:r>
        <w:rPr>
          <w:rFonts w:hint="default"/>
        </w:rPr>
        <w:t>Conform Anunțului de participare.</w:t>
      </w:r>
    </w:p>
    <w:p>
      <w:pPr>
        <w:ind w:firstLine="709"/>
        <w:jc w:val="both"/>
        <w:rPr>
          <w:b/>
        </w:rPr>
      </w:pPr>
      <w:r>
        <w:rPr>
          <w:rFonts w:hint="default"/>
          <w:b/>
        </w:rPr>
        <w:t>5</w:t>
      </w:r>
      <w:r>
        <w:rPr>
          <w:b/>
        </w:rPr>
        <w:t>. Documente obligatorii la depunerea ofertei</w:t>
      </w:r>
    </w:p>
    <w:p>
      <w:pPr>
        <w:ind w:firstLine="709"/>
        <w:jc w:val="both"/>
        <w:rPr>
          <w:rFonts w:hint="default"/>
        </w:rPr>
      </w:pPr>
      <w:r>
        <w:rPr>
          <w:rFonts w:hint="default"/>
        </w:rPr>
        <w:t>Conform Anunțului de participare.</w:t>
      </w:r>
    </w:p>
    <w:p>
      <w:pPr>
        <w:rPr>
          <w:bCs/>
          <w:iCs/>
        </w:rPr>
      </w:pPr>
    </w:p>
    <w:p>
      <w:pPr>
        <w:jc w:val="both"/>
        <w:rPr>
          <w:bCs/>
          <w:i/>
        </w:rPr>
      </w:pPr>
    </w:p>
    <w:p>
      <w:pPr>
        <w:jc w:val="both"/>
        <w:rPr>
          <w:bCs/>
          <w:i/>
        </w:rPr>
      </w:pPr>
    </w:p>
    <w:p>
      <w:pPr>
        <w:jc w:val="both"/>
        <w:rPr>
          <w:bCs/>
          <w:i/>
          <w:iCs/>
          <w:sz w:val="20"/>
          <w:szCs w:val="20"/>
        </w:rPr>
      </w:pPr>
      <w:bookmarkStart w:id="110"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10"/>
    <w:p>
      <w:pPr>
        <w:rPr>
          <w:b/>
        </w:rPr>
        <w:sectPr>
          <w:footerReference r:id="rId5"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3"/>
        <w:gridCol w:w="282"/>
        <w:gridCol w:w="1904"/>
        <w:gridCol w:w="1859"/>
        <w:gridCol w:w="1354"/>
        <w:gridCol w:w="1302"/>
        <w:gridCol w:w="674"/>
        <w:gridCol w:w="2497"/>
        <w:gridCol w:w="3015"/>
        <w:gridCol w:w="1189"/>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1" w:name="_Toc356920194"/>
            <w:bookmarkStart w:id="112" w:name="_Toc449539095"/>
            <w:bookmarkStart w:id="113" w:name="_Toc392180206"/>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4" w:name="_Hlk77771394"/>
            <w:r>
              <w:t xml:space="preserve">Specificaţii tehnice </w:t>
            </w:r>
            <w:bookmarkEnd w:id="111"/>
            <w:bookmarkEnd w:id="112"/>
            <w:bookmarkEnd w:id="113"/>
            <w:bookmarkEnd w:id="114"/>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5"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4" w:type="pct"/>
            <w:gridSpan w:val="4"/>
            <w:shd w:val="clear" w:color="auto" w:fill="auto"/>
          </w:tcPr>
          <w:p/>
        </w:tc>
      </w:tr>
      <w:tr>
        <w:tblPrEx>
          <w:tblCellMar>
            <w:top w:w="0" w:type="dxa"/>
            <w:left w:w="108" w:type="dxa"/>
            <w:bottom w:w="0" w:type="dxa"/>
            <w:right w:w="108" w:type="dxa"/>
          </w:tblCellMar>
        </w:tblPrEx>
        <w:trPr>
          <w:gridAfter w:val="1"/>
          <w:wAfter w:w="25"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5"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1"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t>Benzină Premium 95</w:t>
            </w:r>
            <w:r>
              <w:rPr>
                <w:rFonts w:hint="default"/>
              </w:rPr>
              <w:t xml:space="preserve"> </w:t>
            </w:r>
            <w:r>
              <w:t>În vrac</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 xml:space="preserve">- Cifra octanica, COR, min.95 </w:t>
            </w:r>
          </w:p>
          <w:p>
            <w:pPr>
              <w:rPr>
                <w:sz w:val="20"/>
                <w:szCs w:val="20"/>
              </w:rPr>
            </w:pPr>
            <w:r>
              <w:rPr>
                <w:sz w:val="20"/>
                <w:szCs w:val="20"/>
              </w:rPr>
              <w:t>- Aspect limpede și transparen</w:t>
            </w: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5"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1" w:type="pct"/>
            <w:tcBorders>
              <w:top w:val="single" w:color="auto" w:sz="4" w:space="0"/>
              <w:left w:val="single" w:color="auto" w:sz="4" w:space="0"/>
              <w:bottom w:val="single" w:color="auto" w:sz="4" w:space="0"/>
              <w:right w:val="single" w:color="auto" w:sz="4" w:space="0"/>
            </w:tcBorders>
          </w:tcPr>
          <w:p>
            <w:pPr>
              <w:rPr>
                <w:sz w:val="20"/>
                <w:szCs w:val="20"/>
              </w:rPr>
            </w:pPr>
          </w:p>
        </w:tc>
        <w:tc>
          <w:tcPr>
            <w:tcW w:w="365"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083"/>
              <w:gridCol w:w="298"/>
              <w:gridCol w:w="2349"/>
              <w:gridCol w:w="950"/>
              <w:gridCol w:w="893"/>
              <w:gridCol w:w="1263"/>
              <w:gridCol w:w="1083"/>
              <w:gridCol w:w="1314"/>
              <w:gridCol w:w="1069"/>
              <w:gridCol w:w="53"/>
              <w:gridCol w:w="1348"/>
              <w:gridCol w:w="265"/>
              <w:gridCol w:w="60"/>
              <w:gridCol w:w="1577"/>
              <w:gridCol w:w="338"/>
              <w:gridCol w:w="41"/>
              <w:gridCol w:w="34"/>
              <w:gridCol w:w="1134"/>
              <w:gridCol w:w="22"/>
              <w:gridCol w:w="27"/>
              <w:gridCol w:w="358"/>
            </w:tblGrid>
            <w:tr>
              <w:tblPrEx>
                <w:tblCellMar>
                  <w:top w:w="0" w:type="dxa"/>
                  <w:left w:w="108" w:type="dxa"/>
                  <w:bottom w:w="0" w:type="dxa"/>
                  <w:right w:w="108" w:type="dxa"/>
                </w:tblCellMar>
              </w:tblPrEx>
              <w:trPr>
                <w:gridAfter w:val="3"/>
                <w:wAfter w:w="407" w:type="dxa"/>
                <w:trHeight w:val="697" w:hRule="atLeast"/>
              </w:trPr>
              <w:tc>
                <w:tcPr>
                  <w:tcW w:w="13943"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0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407" w:type="dxa"/>
              </w:trPr>
              <w:tc>
                <w:tcPr>
                  <w:tcW w:w="13943"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0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381" w:type="dxa"/>
                  <w:gridSpan w:val="2"/>
                  <w:tcBorders>
                    <w:top w:val="single" w:color="auto" w:sz="4" w:space="0"/>
                    <w:left w:val="single" w:color="auto" w:sz="4" w:space="0"/>
                    <w:bottom w:val="single" w:color="auto" w:sz="4" w:space="0"/>
                    <w:right w:val="single" w:color="auto" w:sz="4" w:space="0"/>
                  </w:tcBorders>
                </w:tcPr>
                <w:p/>
              </w:tc>
              <w:tc>
                <w:tcPr>
                  <w:tcW w:w="14178"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achiziției:______________</w:t>
                  </w:r>
                </w:p>
              </w:tc>
            </w:tr>
            <w:tr>
              <w:tblPrEx>
                <w:tblCellMar>
                  <w:top w:w="0" w:type="dxa"/>
                  <w:left w:w="108" w:type="dxa"/>
                  <w:bottom w:w="0" w:type="dxa"/>
                  <w:right w:w="108" w:type="dxa"/>
                </w:tblCellMar>
              </w:tblPrEx>
              <w:trPr>
                <w:trHeight w:val="567" w:hRule="atLeast"/>
              </w:trPr>
              <w:tc>
                <w:tcPr>
                  <w:tcW w:w="11703" w:type="dxa"/>
                  <w:gridSpan w:val="11"/>
                  <w:shd w:val="clear" w:color="auto" w:fill="auto"/>
                </w:tcPr>
                <w:p/>
              </w:tc>
              <w:tc>
                <w:tcPr>
                  <w:tcW w:w="1902" w:type="dxa"/>
                  <w:gridSpan w:val="3"/>
                </w:tcPr>
                <w:p/>
              </w:tc>
              <w:tc>
                <w:tcPr>
                  <w:tcW w:w="1954" w:type="dxa"/>
                  <w:gridSpan w:val="7"/>
                </w:tcPr>
                <w:p/>
              </w:tc>
            </w:tr>
            <w:tr>
              <w:tblPrEx>
                <w:tblCellMar>
                  <w:top w:w="0" w:type="dxa"/>
                  <w:left w:w="108" w:type="dxa"/>
                  <w:bottom w:w="0" w:type="dxa"/>
                  <w:right w:w="108" w:type="dxa"/>
                </w:tblCellMar>
              </w:tblPrEx>
              <w:trPr>
                <w:gridAfter w:val="2"/>
                <w:wAfter w:w="385" w:type="dxa"/>
                <w:trHeight w:val="104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893"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26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083"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314"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069"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2016"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385" w:type="dxa"/>
                <w:trHeight w:val="283"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66"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2016"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190"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szCs w:val="20"/>
                    </w:rPr>
                    <w:t>09132000-3</w:t>
                  </w: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t>Benzină Premium 95</w:t>
                  </w:r>
                  <w:r>
                    <w:rPr>
                      <w:rFonts w:hint="default"/>
                    </w:rPr>
                    <w:t xml:space="preserve"> </w:t>
                  </w:r>
                  <w:r>
                    <w:t>În vrac</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litru</w:t>
                  </w: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hint="default"/>
                      <w:sz w:val="20"/>
                      <w:lang w:val="en-US"/>
                    </w:rPr>
                    <w:t>65</w:t>
                  </w:r>
                  <w:r>
                    <w:rPr>
                      <w:rFonts w:hint="default"/>
                      <w:sz w:val="20"/>
                    </w:rPr>
                    <w:t xml:space="preserve"> </w:t>
                  </w:r>
                  <w:r>
                    <w:rPr>
                      <w:sz w:val="20"/>
                    </w:rPr>
                    <w:t xml:space="preserve">000 </w:t>
                  </w: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r>
                    <w:rPr>
                      <w:sz w:val="20"/>
                    </w:rPr>
                    <w:t>Max. 48 ore din data trimiterii Comenzii</w:t>
                  </w:r>
                </w:p>
              </w:tc>
              <w:tc>
                <w:tcPr>
                  <w:tcW w:w="2016" w:type="dxa"/>
                  <w:gridSpan w:val="4"/>
                  <w:tcBorders>
                    <w:top w:val="single" w:color="auto" w:sz="4" w:space="0"/>
                    <w:left w:val="single" w:color="auto" w:sz="4" w:space="0"/>
                    <w:bottom w:val="single" w:color="auto" w:sz="4" w:space="0"/>
                    <w:right w:val="single" w:color="auto" w:sz="4" w:space="0"/>
                  </w:tcBorders>
                </w:tcPr>
                <w:p>
                  <w:pPr>
                    <w:rPr>
                      <w:sz w:val="20"/>
                      <w:szCs w:val="20"/>
                      <w:lang w:val="en-US"/>
                    </w:rPr>
                  </w:pPr>
                  <w:r>
                    <w:rPr>
                      <w:sz w:val="20"/>
                      <w:szCs w:val="20"/>
                      <w:lang w:val="en-US"/>
                    </w:rPr>
                    <w:t>IBAN:</w:t>
                  </w:r>
                </w:p>
                <w:p>
                  <w:pPr>
                    <w:rPr>
                      <w:sz w:val="20"/>
                      <w:szCs w:val="20"/>
                      <w:lang w:val="en-US"/>
                    </w:rPr>
                  </w:pPr>
                  <w:r>
                    <w:rPr>
                      <w:sz w:val="20"/>
                      <w:szCs w:val="20"/>
                      <w:lang w:val="en-US"/>
                    </w:rPr>
                    <w:t>MD69ML</w:t>
                  </w:r>
                </w:p>
                <w:p>
                  <w:pPr>
                    <w:rPr>
                      <w:sz w:val="20"/>
                    </w:rPr>
                  </w:pPr>
                  <w:r>
                    <w:rPr>
                      <w:sz w:val="20"/>
                      <w:szCs w:val="20"/>
                      <w:lang w:val="en-US"/>
                    </w:rPr>
                    <w:t>000000002251017364</w:t>
                  </w: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385" w:type="dxa"/>
                <w:trHeight w:val="397" w:hRule="atLeast"/>
              </w:trPr>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647"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89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26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83"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314"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06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66" w:type="dxa"/>
                  <w:gridSpan w:val="3"/>
                  <w:tcBorders>
                    <w:top w:val="single" w:color="auto" w:sz="4" w:space="0"/>
                    <w:left w:val="single" w:color="auto" w:sz="4" w:space="0"/>
                    <w:bottom w:val="single" w:color="auto" w:sz="4" w:space="0"/>
                    <w:right w:val="single" w:color="auto" w:sz="4" w:space="0"/>
                  </w:tcBorders>
                </w:tcPr>
                <w:p>
                  <w:pPr>
                    <w:rPr>
                      <w:sz w:val="20"/>
                    </w:rPr>
                  </w:pPr>
                </w:p>
              </w:tc>
              <w:tc>
                <w:tcPr>
                  <w:tcW w:w="2016" w:type="dxa"/>
                  <w:gridSpan w:val="4"/>
                  <w:tcBorders>
                    <w:top w:val="single" w:color="auto" w:sz="4" w:space="0"/>
                    <w:left w:val="single" w:color="auto" w:sz="4" w:space="0"/>
                    <w:bottom w:val="single" w:color="auto" w:sz="4" w:space="0"/>
                    <w:right w:val="single" w:color="auto" w:sz="4" w:space="0"/>
                  </w:tcBorders>
                </w:tcPr>
                <w:p>
                  <w:pPr>
                    <w:rPr>
                      <w:sz w:val="20"/>
                    </w:rPr>
                  </w:pPr>
                </w:p>
              </w:tc>
              <w:tc>
                <w:tcPr>
                  <w:tcW w:w="1190"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358" w:type="dxa"/>
                <w:trHeight w:val="397" w:hRule="atLeast"/>
              </w:trPr>
              <w:tc>
                <w:tcPr>
                  <w:tcW w:w="10355"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3" w:type="dxa"/>
                  <w:gridSpan w:val="3"/>
                  <w:tcBorders>
                    <w:top w:val="single" w:color="auto" w:sz="4" w:space="0"/>
                  </w:tcBorders>
                </w:tcPr>
                <w:p>
                  <w:pPr>
                    <w:tabs>
                      <w:tab w:val="left" w:pos="6120"/>
                    </w:tabs>
                    <w:rPr>
                      <w:sz w:val="20"/>
                    </w:rPr>
                  </w:pPr>
                </w:p>
              </w:tc>
              <w:tc>
                <w:tcPr>
                  <w:tcW w:w="1990" w:type="dxa"/>
                  <w:gridSpan w:val="4"/>
                  <w:tcBorders>
                    <w:top w:val="single" w:color="auto" w:sz="4" w:space="0"/>
                  </w:tcBorders>
                </w:tcPr>
                <w:p>
                  <w:pPr>
                    <w:tabs>
                      <w:tab w:val="left" w:pos="6120"/>
                    </w:tabs>
                    <w:rPr>
                      <w:sz w:val="20"/>
                    </w:rPr>
                  </w:pPr>
                </w:p>
              </w:tc>
              <w:tc>
                <w:tcPr>
                  <w:tcW w:w="1183"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5"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8"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5" w:name="_Hlk77771427"/>
      <w:r>
        <w:rPr>
          <w:b/>
        </w:rPr>
        <w:t>CONTRACT – MODEL</w:t>
      </w:r>
      <w:bookmarkEnd w:id="115"/>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6" w:name="_Hlk77771456"/>
                  <w:r>
                    <w:rPr>
                      <w:b/>
                      <w:bCs/>
                      <w:caps/>
                    </w:rPr>
                    <w:t>ACORD ADIȚIONAL</w:t>
                  </w:r>
                  <w:r>
                    <w:rPr>
                      <w:b/>
                      <w:bCs/>
                    </w:rPr>
                    <w:t xml:space="preserve"> </w:t>
                  </w:r>
                  <w:bookmarkEnd w:id="116"/>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7" w:name="_Hlk77771474"/>
            <w:r>
              <w:rPr>
                <w:b/>
                <w:bCs/>
              </w:rPr>
              <w:t>ACORD-CADRU</w:t>
            </w:r>
          </w:p>
          <w:bookmarkEnd w:id="117"/>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21</w:t>
        </w:r>
        <w:r>
          <w:fldChar w:fldCharType="end"/>
        </w:r>
      </w:p>
    </w:sdtContent>
  </w:sdt>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CA26454"/>
    <w:rsid w:val="4DFE10AB"/>
    <w:rsid w:val="52095B57"/>
    <w:rsid w:val="55E81A2D"/>
    <w:rsid w:val="5B8B6DC9"/>
    <w:rsid w:val="70ED035E"/>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Heading 1 Char"/>
    <w:basedOn w:val="10"/>
    <w:link w:val="2"/>
    <w:qFormat/>
    <w:uiPriority w:val="0"/>
    <w:rPr>
      <w:rFonts w:ascii="Times New Roman" w:hAnsi="Times New Roman" w:eastAsia="Times New Roman" w:cs="Times New Roman"/>
      <w:b/>
      <w:sz w:val="24"/>
      <w:szCs w:val="24"/>
      <w:lang w:val="en-US"/>
    </w:rPr>
  </w:style>
  <w:style w:type="character" w:customStyle="1" w:styleId="43">
    <w:name w:val="Heading 2 Char"/>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Heading 3 Char"/>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Heading 4 Char"/>
    <w:basedOn w:val="10"/>
    <w:link w:val="6"/>
    <w:qFormat/>
    <w:uiPriority w:val="0"/>
    <w:rPr>
      <w:rFonts w:ascii="Baltica RR" w:hAnsi="Baltica RR" w:eastAsia="Times New Roman" w:cs="Times New Roman"/>
      <w:b/>
      <w:sz w:val="24"/>
      <w:szCs w:val="20"/>
      <w:lang w:val="ro-RO" w:eastAsia="ru-RU"/>
    </w:rPr>
  </w:style>
  <w:style w:type="character" w:customStyle="1" w:styleId="46">
    <w:name w:val="Heading 5 Char"/>
    <w:basedOn w:val="10"/>
    <w:link w:val="7"/>
    <w:qFormat/>
    <w:uiPriority w:val="0"/>
    <w:rPr>
      <w:rFonts w:ascii="Times New Roman" w:hAnsi="Times New Roman" w:eastAsia="Times New Roman" w:cs="Times New Roman"/>
      <w:sz w:val="28"/>
      <w:szCs w:val="20"/>
      <w:lang w:val="ro-RO" w:eastAsia="ru-RU"/>
    </w:rPr>
  </w:style>
  <w:style w:type="character" w:customStyle="1" w:styleId="47">
    <w:name w:val="Heading 8 Char"/>
    <w:basedOn w:val="10"/>
    <w:link w:val="8"/>
    <w:semiHidden/>
    <w:qFormat/>
    <w:uiPriority w:val="0"/>
    <w:rPr>
      <w:rFonts w:ascii="Calibri" w:hAnsi="Calibri" w:eastAsia="Times New Roman" w:cs="Times New Roman"/>
      <w:i/>
      <w:iCs/>
      <w:sz w:val="24"/>
      <w:szCs w:val="24"/>
      <w:lang w:val="ro-RO"/>
    </w:rPr>
  </w:style>
  <w:style w:type="character" w:customStyle="1" w:styleId="48">
    <w:name w:val="Heading 9 Char"/>
    <w:basedOn w:val="10"/>
    <w:link w:val="9"/>
    <w:semiHidden/>
    <w:qFormat/>
    <w:uiPriority w:val="0"/>
    <w:rPr>
      <w:rFonts w:ascii="Cambria" w:hAnsi="Cambria" w:eastAsia="Times New Roman" w:cs="Times New Roman"/>
      <w:lang w:val="ro-RO"/>
    </w:rPr>
  </w:style>
  <w:style w:type="character" w:customStyle="1" w:styleId="49">
    <w:name w:val="Footer Char"/>
    <w:basedOn w:val="10"/>
    <w:link w:val="22"/>
    <w:qFormat/>
    <w:uiPriority w:val="99"/>
    <w:rPr>
      <w:rFonts w:ascii="Times New Roman" w:hAnsi="Times New Roman" w:eastAsia="Times New Roman" w:cs="Times New Roman"/>
      <w:sz w:val="24"/>
      <w:szCs w:val="24"/>
      <w:lang w:val="ro-RO"/>
    </w:rPr>
  </w:style>
  <w:style w:type="character" w:customStyle="1" w:styleId="50">
    <w:name w:val="Body Text Char"/>
    <w:basedOn w:val="10"/>
    <w:link w:val="13"/>
    <w:qFormat/>
    <w:uiPriority w:val="0"/>
    <w:rPr>
      <w:rFonts w:ascii="Baltica RR" w:hAnsi="Baltica RR" w:eastAsia="Times New Roman" w:cs="Times New Roman"/>
      <w:sz w:val="24"/>
      <w:szCs w:val="20"/>
      <w:lang w:val="ro-RO"/>
    </w:rPr>
  </w:style>
  <w:style w:type="character" w:customStyle="1" w:styleId="51">
    <w:name w:val="Header Char"/>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Subtitle Char"/>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Body Text Indent 2 Char"/>
    <w:basedOn w:val="10"/>
    <w:link w:val="16"/>
    <w:qFormat/>
    <w:uiPriority w:val="0"/>
    <w:rPr>
      <w:rFonts w:ascii="Baltica RR" w:hAnsi="Baltica RR" w:eastAsia="Times New Roman" w:cs="Times New Roman"/>
      <w:sz w:val="24"/>
      <w:szCs w:val="20"/>
      <w:lang w:val="ro-RO" w:eastAsia="ru-RU"/>
    </w:rPr>
  </w:style>
  <w:style w:type="character" w:customStyle="1" w:styleId="55">
    <w:name w:val="Body Text 2 Char"/>
    <w:basedOn w:val="10"/>
    <w:link w:val="14"/>
    <w:qFormat/>
    <w:uiPriority w:val="0"/>
    <w:rPr>
      <w:rFonts w:ascii="Baltica RR" w:hAnsi="Baltica RR" w:eastAsia="Times New Roman" w:cs="Times New Roman"/>
      <w:sz w:val="24"/>
      <w:szCs w:val="20"/>
      <w:lang w:val="ro-RO" w:eastAsia="ru-RU"/>
    </w:rPr>
  </w:style>
  <w:style w:type="character" w:customStyle="1" w:styleId="56">
    <w:name w:val="Balloon Text Char"/>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Body Text Indent 3 Char"/>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10"/>
    <w:link w:val="24"/>
    <w:qFormat/>
    <w:uiPriority w:val="0"/>
    <w:rPr>
      <w:rFonts w:ascii="Times New Roman" w:hAnsi="Times New Roman" w:eastAsia="Times New Roman" w:cs="Times New Roman"/>
      <w:sz w:val="20"/>
      <w:szCs w:val="20"/>
      <w:lang w:val="en-US"/>
    </w:rPr>
  </w:style>
  <w:style w:type="character" w:customStyle="1" w:styleId="69">
    <w:name w:val="Comment Text Char"/>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HTML Preformatted Char"/>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qFormat/>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List Paragraph Char"/>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60</Pages>
  <Words>21002</Words>
  <Characters>121812</Characters>
  <Lines>1015</Lines>
  <Paragraphs>285</Paragraphs>
  <TotalTime>4</TotalTime>
  <ScaleCrop>false</ScaleCrop>
  <LinksUpToDate>false</LinksUpToDate>
  <CharactersWithSpaces>142529</CharactersWithSpaces>
  <Application>WPS Office_11.2.0.11513_F1E327BC-269C-435d-A152-05C5408002CA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Anatol</cp:lastModifiedBy>
  <cp:lastPrinted>2021-03-10T08:12:00Z</cp:lastPrinted>
  <dcterms:modified xsi:type="dcterms:W3CDTF">2023-03-24T10:21:56Z</dcterms:modified>
  <cp:revision>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1033-11.2.0.11513</vt:lpwstr>
  </property>
  <property fmtid="{D5CDD505-2E9C-101B-9397-08002B2CF9AE}" pid="3" name="ICV">
    <vt:lpwstr>DF054935A0E94F9AA1EB2C97B3704FE1</vt:lpwstr>
  </property>
</Properties>
</file>