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405" w:rsidRDefault="005C069C">
      <w:pPr>
        <w:jc w:val="center"/>
        <w:rPr>
          <w:b/>
          <w:sz w:val="28"/>
          <w:szCs w:val="28"/>
        </w:rPr>
      </w:pPr>
      <w:bookmarkStart w:id="0" w:name="_GoBack"/>
      <w:bookmarkEnd w:id="0"/>
      <w:r>
        <w:rPr>
          <w:b/>
          <w:sz w:val="28"/>
          <w:szCs w:val="28"/>
        </w:rPr>
        <w:t>SERVICE CONTRACT NOTICE</w:t>
      </w:r>
    </w:p>
    <w:p w:rsidR="00104405" w:rsidRDefault="005C069C">
      <w:pPr>
        <w:jc w:val="center"/>
        <w:rPr>
          <w:sz w:val="28"/>
          <w:szCs w:val="28"/>
        </w:rPr>
      </w:pPr>
      <w:r>
        <w:rPr>
          <w:b/>
          <w:sz w:val="28"/>
          <w:szCs w:val="28"/>
        </w:rPr>
        <w:t>Services for developing the Overall design and architectural project of the area adjacent to the Church of the "Saints Constantine and Helena", generically known as "Visterniceni"</w:t>
      </w:r>
      <w:r>
        <w:rPr>
          <w:b/>
          <w:sz w:val="28"/>
          <w:szCs w:val="28"/>
        </w:rPr>
        <w:br/>
        <w:t>Chișinău City, Republic of Moldova</w:t>
      </w:r>
    </w:p>
    <w:p w:rsidR="00104405" w:rsidRDefault="00104405">
      <w:pPr>
        <w:ind w:left="709" w:hanging="349"/>
        <w:rPr>
          <w:b/>
          <w:sz w:val="22"/>
          <w:szCs w:val="22"/>
        </w:rPr>
      </w:pPr>
    </w:p>
    <w:p w:rsidR="00104405" w:rsidRDefault="005C069C">
      <w:pPr>
        <w:ind w:left="709" w:hanging="349"/>
        <w:rPr>
          <w:sz w:val="22"/>
          <w:szCs w:val="22"/>
        </w:rPr>
      </w:pPr>
      <w:r>
        <w:rPr>
          <w:b/>
          <w:sz w:val="22"/>
          <w:szCs w:val="22"/>
        </w:rPr>
        <w:t>1.</w:t>
      </w:r>
      <w:r>
        <w:rPr>
          <w:b/>
          <w:sz w:val="22"/>
          <w:szCs w:val="22"/>
        </w:rPr>
        <w:tab/>
        <w:t>Reference</w:t>
      </w:r>
    </w:p>
    <w:p w:rsidR="00104405" w:rsidRDefault="005C069C">
      <w:pPr>
        <w:pStyle w:val="Subtitle"/>
        <w:spacing w:after="240"/>
        <w:jc w:val="left"/>
        <w:rPr>
          <w:b w:val="0"/>
          <w:i/>
          <w:color w:val="000000"/>
          <w:sz w:val="22"/>
          <w:szCs w:val="22"/>
        </w:rPr>
      </w:pPr>
      <w:bookmarkStart w:id="1" w:name="_heading=h.go8082i1uln5" w:colFirst="0" w:colLast="0"/>
      <w:bookmarkEnd w:id="1"/>
      <w:r>
        <w:rPr>
          <w:b w:val="0"/>
          <w:sz w:val="22"/>
          <w:szCs w:val="22"/>
          <w:highlight w:val="white"/>
        </w:rPr>
        <w:t xml:space="preserve">      ocds-b3wdp1-MD-1661150248856</w:t>
      </w:r>
    </w:p>
    <w:p w:rsidR="00104405" w:rsidRDefault="005C069C">
      <w:pPr>
        <w:ind w:left="709" w:hanging="349"/>
        <w:rPr>
          <w:sz w:val="22"/>
          <w:szCs w:val="22"/>
        </w:rPr>
      </w:pPr>
      <w:r>
        <w:rPr>
          <w:b/>
          <w:sz w:val="22"/>
          <w:szCs w:val="22"/>
        </w:rPr>
        <w:t>2.</w:t>
      </w:r>
      <w:r>
        <w:rPr>
          <w:b/>
          <w:sz w:val="22"/>
          <w:szCs w:val="22"/>
        </w:rPr>
        <w:tab/>
        <w:t>Procedure</w:t>
      </w:r>
    </w:p>
    <w:p w:rsidR="00104405" w:rsidRDefault="005C069C">
      <w:pPr>
        <w:pBdr>
          <w:top w:val="nil"/>
          <w:left w:val="nil"/>
          <w:bottom w:val="nil"/>
          <w:right w:val="nil"/>
          <w:between w:val="nil"/>
        </w:pBdr>
        <w:ind w:left="283" w:right="360"/>
        <w:jc w:val="both"/>
        <w:rPr>
          <w:sz w:val="22"/>
          <w:szCs w:val="22"/>
          <w:highlight w:val="white"/>
        </w:rPr>
      </w:pPr>
      <w:r>
        <w:rPr>
          <w:sz w:val="22"/>
          <w:szCs w:val="22"/>
          <w:highlight w:val="white"/>
        </w:rPr>
        <w:t xml:space="preserve"> Single tender</w:t>
      </w:r>
    </w:p>
    <w:p w:rsidR="00104405" w:rsidRDefault="005C069C">
      <w:pPr>
        <w:ind w:left="709" w:hanging="349"/>
        <w:rPr>
          <w:b/>
          <w:sz w:val="22"/>
          <w:szCs w:val="22"/>
        </w:rPr>
      </w:pPr>
      <w:r>
        <w:rPr>
          <w:b/>
          <w:sz w:val="22"/>
          <w:szCs w:val="22"/>
        </w:rPr>
        <w:t xml:space="preserve">3. </w:t>
      </w:r>
      <w:r>
        <w:rPr>
          <w:b/>
          <w:sz w:val="22"/>
          <w:szCs w:val="22"/>
        </w:rPr>
        <w:tab/>
        <w:t>Programme title</w:t>
      </w:r>
    </w:p>
    <w:p w:rsidR="00104405" w:rsidRDefault="005C069C">
      <w:pPr>
        <w:ind w:left="357" w:right="357" w:hanging="73"/>
        <w:rPr>
          <w:color w:val="000000"/>
        </w:rPr>
      </w:pPr>
      <w:r>
        <w:rPr>
          <w:sz w:val="22"/>
          <w:szCs w:val="22"/>
          <w:highlight w:val="white"/>
        </w:rPr>
        <w:t xml:space="preserve"> Danube Transnational Programme, 3rd Call for Proposals</w:t>
      </w:r>
    </w:p>
    <w:p w:rsidR="00104405" w:rsidRDefault="005C069C">
      <w:pPr>
        <w:ind w:left="709" w:hanging="349"/>
        <w:rPr>
          <w:sz w:val="22"/>
          <w:szCs w:val="22"/>
        </w:rPr>
      </w:pPr>
      <w:r>
        <w:rPr>
          <w:b/>
          <w:sz w:val="22"/>
          <w:szCs w:val="22"/>
        </w:rPr>
        <w:t xml:space="preserve">4. </w:t>
      </w:r>
      <w:r>
        <w:rPr>
          <w:b/>
          <w:sz w:val="22"/>
          <w:szCs w:val="22"/>
        </w:rPr>
        <w:tab/>
        <w:t>Financing</w:t>
      </w:r>
    </w:p>
    <w:p w:rsidR="00104405" w:rsidRDefault="005C069C">
      <w:pPr>
        <w:widowControl/>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427"/>
          <w:tab w:val="left" w:pos="5760"/>
          <w:tab w:val="left" w:pos="6480"/>
          <w:tab w:val="left" w:pos="7200"/>
          <w:tab w:val="left" w:pos="7920"/>
        </w:tabs>
        <w:spacing w:before="0" w:after="80"/>
        <w:ind w:left="283"/>
        <w:rPr>
          <w:b/>
          <w:sz w:val="22"/>
          <w:szCs w:val="22"/>
        </w:rPr>
      </w:pPr>
      <w:r>
        <w:rPr>
          <w:sz w:val="22"/>
          <w:szCs w:val="22"/>
          <w:highlight w:val="white"/>
        </w:rPr>
        <w:t>General Directorate of architecture, urbanism and land relations budget</w:t>
      </w:r>
    </w:p>
    <w:p w:rsidR="00104405" w:rsidRDefault="005C069C">
      <w:pPr>
        <w:ind w:left="709" w:hanging="349"/>
        <w:rPr>
          <w:sz w:val="22"/>
          <w:szCs w:val="22"/>
        </w:rPr>
      </w:pPr>
      <w:r>
        <w:rPr>
          <w:b/>
          <w:sz w:val="22"/>
          <w:szCs w:val="22"/>
        </w:rPr>
        <w:t xml:space="preserve">5. </w:t>
      </w:r>
      <w:r>
        <w:rPr>
          <w:b/>
          <w:sz w:val="22"/>
          <w:szCs w:val="22"/>
        </w:rPr>
        <w:tab/>
        <w:t>Contracting authority</w:t>
      </w:r>
    </w:p>
    <w:p w:rsidR="00104405" w:rsidRDefault="005C069C">
      <w:pPr>
        <w:widowControl/>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277"/>
          <w:tab w:val="left" w:pos="5760"/>
          <w:tab w:val="left" w:pos="6480"/>
          <w:tab w:val="left" w:pos="7200"/>
          <w:tab w:val="left" w:pos="7920"/>
        </w:tabs>
        <w:spacing w:before="0" w:after="80"/>
        <w:ind w:left="5103" w:hanging="4819"/>
        <w:rPr>
          <w:sz w:val="22"/>
          <w:szCs w:val="22"/>
        </w:rPr>
      </w:pPr>
      <w:r>
        <w:rPr>
          <w:sz w:val="22"/>
          <w:szCs w:val="22"/>
        </w:rPr>
        <w:t>General Directorate of architecture, urbanism and land relations</w:t>
      </w:r>
    </w:p>
    <w:p w:rsidR="00104405" w:rsidRDefault="005C069C">
      <w:pPr>
        <w:widowControl/>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277"/>
          <w:tab w:val="left" w:pos="5760"/>
          <w:tab w:val="left" w:pos="6480"/>
          <w:tab w:val="left" w:pos="7200"/>
          <w:tab w:val="left" w:pos="7920"/>
        </w:tabs>
        <w:spacing w:before="0" w:after="80"/>
        <w:ind w:left="5103" w:hanging="4819"/>
        <w:rPr>
          <w:sz w:val="22"/>
          <w:szCs w:val="22"/>
        </w:rPr>
      </w:pPr>
      <w:r>
        <w:rPr>
          <w:sz w:val="22"/>
          <w:szCs w:val="22"/>
        </w:rPr>
        <w:t>Address: 83 Ștefan cel Mare și Sfânt Boulevard, Chișinău</w:t>
      </w:r>
    </w:p>
    <w:p w:rsidR="00104405" w:rsidRDefault="005C069C">
      <w:pPr>
        <w:widowControl/>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277"/>
          <w:tab w:val="left" w:pos="5760"/>
          <w:tab w:val="left" w:pos="6480"/>
          <w:tab w:val="left" w:pos="7200"/>
          <w:tab w:val="left" w:pos="7920"/>
        </w:tabs>
        <w:spacing w:before="0" w:after="80"/>
        <w:ind w:left="5103" w:hanging="4819"/>
        <w:rPr>
          <w:sz w:val="22"/>
          <w:szCs w:val="22"/>
        </w:rPr>
      </w:pPr>
      <w:r>
        <w:rPr>
          <w:sz w:val="22"/>
          <w:szCs w:val="22"/>
        </w:rPr>
        <w:t>IDNO: 1007601010323</w:t>
      </w:r>
    </w:p>
    <w:p w:rsidR="00104405" w:rsidRDefault="005C069C">
      <w:pPr>
        <w:rPr>
          <w:sz w:val="22"/>
          <w:szCs w:val="22"/>
        </w:rPr>
      </w:pPr>
      <w:r>
        <w:rPr>
          <w:noProof/>
        </w:rPr>
        <mc:AlternateContent>
          <mc:Choice Requires="wps">
            <w:drawing>
              <wp:anchor distT="0" distB="0" distL="114300" distR="114300" simplePos="0" relativeHeight="251658240" behindDoc="0" locked="0" layoutInCell="1" hidden="0" allowOverlap="1">
                <wp:simplePos x="0" y="0"/>
                <wp:positionH relativeFrom="column">
                  <wp:posOffset>114300</wp:posOffset>
                </wp:positionH>
                <wp:positionV relativeFrom="paragraph">
                  <wp:posOffset>0</wp:posOffset>
                </wp:positionV>
                <wp:extent cx="0" cy="12700"/>
                <wp:effectExtent l="0" t="0" r="0" b="0"/>
                <wp:wrapNone/>
                <wp:docPr id="8" name="Straight Arrow Connector 8"/>
                <wp:cNvGraphicFramePr/>
                <a:graphic xmlns:a="http://schemas.openxmlformats.org/drawingml/2006/main">
                  <a:graphicData uri="http://schemas.microsoft.com/office/word/2010/wordprocessingShape">
                    <wps:wsp>
                      <wps:cNvCnPr/>
                      <wps:spPr>
                        <a:xfrm>
                          <a:off x="2374200" y="3779683"/>
                          <a:ext cx="5943600" cy="635"/>
                        </a:xfrm>
                        <a:prstGeom prst="straightConnector1">
                          <a:avLst/>
                        </a:prstGeom>
                        <a:solidFill>
                          <a:srgbClr val="FFFFFF"/>
                        </a:solidFill>
                        <a:ln w="22225" cap="flat" cmpd="sng">
                          <a:solidFill>
                            <a:srgbClr val="D4D4D4"/>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0" cy="12700"/>
                <wp:effectExtent b="0" l="0" r="0" t="0"/>
                <wp:wrapNone/>
                <wp:docPr id="8"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104405" w:rsidRDefault="005C069C">
      <w:pPr>
        <w:jc w:val="center"/>
        <w:rPr>
          <w:sz w:val="28"/>
          <w:szCs w:val="28"/>
        </w:rPr>
      </w:pPr>
      <w:r>
        <w:rPr>
          <w:b/>
          <w:sz w:val="28"/>
          <w:szCs w:val="28"/>
        </w:rPr>
        <w:t>CONTRACT SPECIFICATION</w:t>
      </w:r>
    </w:p>
    <w:p w:rsidR="00104405" w:rsidRDefault="005C069C">
      <w:pPr>
        <w:ind w:left="709" w:hanging="349"/>
        <w:rPr>
          <w:sz w:val="22"/>
          <w:szCs w:val="22"/>
        </w:rPr>
      </w:pPr>
      <w:r>
        <w:rPr>
          <w:b/>
          <w:sz w:val="22"/>
          <w:szCs w:val="22"/>
        </w:rPr>
        <w:t xml:space="preserve">6. </w:t>
      </w:r>
      <w:r>
        <w:rPr>
          <w:b/>
          <w:sz w:val="22"/>
          <w:szCs w:val="22"/>
        </w:rPr>
        <w:tab/>
        <w:t>Nature of contract</w:t>
      </w:r>
    </w:p>
    <w:p w:rsidR="00104405" w:rsidRDefault="005C069C">
      <w:pPr>
        <w:pBdr>
          <w:top w:val="nil"/>
          <w:left w:val="nil"/>
          <w:bottom w:val="nil"/>
          <w:right w:val="nil"/>
          <w:between w:val="nil"/>
        </w:pBdr>
        <w:ind w:left="360" w:right="360"/>
        <w:jc w:val="both"/>
        <w:rPr>
          <w:i/>
          <w:color w:val="000000"/>
          <w:sz w:val="22"/>
          <w:szCs w:val="22"/>
          <w:highlight w:val="white"/>
        </w:rPr>
      </w:pPr>
      <w:r>
        <w:rPr>
          <w:color w:val="000000"/>
          <w:sz w:val="22"/>
          <w:szCs w:val="22"/>
          <w:highlight w:val="white"/>
        </w:rPr>
        <w:t>Global price</w:t>
      </w:r>
    </w:p>
    <w:p w:rsidR="00104405" w:rsidRDefault="005C069C">
      <w:pPr>
        <w:ind w:left="709" w:hanging="352"/>
        <w:rPr>
          <w:sz w:val="22"/>
          <w:szCs w:val="22"/>
        </w:rPr>
      </w:pPr>
      <w:r>
        <w:rPr>
          <w:b/>
          <w:sz w:val="22"/>
          <w:szCs w:val="22"/>
        </w:rPr>
        <w:t xml:space="preserve">7. </w:t>
      </w:r>
      <w:r>
        <w:rPr>
          <w:b/>
          <w:sz w:val="22"/>
          <w:szCs w:val="22"/>
        </w:rPr>
        <w:tab/>
        <w:t>Contract description</w:t>
      </w:r>
    </w:p>
    <w:p w:rsidR="00104405" w:rsidRDefault="005C069C">
      <w:pPr>
        <w:widowControl/>
        <w:spacing w:before="0" w:after="240"/>
        <w:ind w:left="283"/>
        <w:jc w:val="both"/>
      </w:pPr>
      <w:r>
        <w:rPr>
          <w:sz w:val="22"/>
          <w:szCs w:val="22"/>
        </w:rPr>
        <w:t>The general scope of the assignment is to provide services by an architectural buro/design company for the development of an architectural/design project of the future archaeological park in Chisinau. The project should encompass all the necessary faciliti</w:t>
      </w:r>
      <w:r>
        <w:rPr>
          <w:sz w:val="22"/>
          <w:szCs w:val="22"/>
        </w:rPr>
        <w:t>es for the good functioning of the designed park both from an administrative necessity and also from a visitor’s point of view.</w:t>
      </w:r>
    </w:p>
    <w:p w:rsidR="00104405" w:rsidRDefault="005C069C">
      <w:pPr>
        <w:widowControl/>
        <w:spacing w:before="0" w:after="240"/>
        <w:ind w:left="283"/>
        <w:jc w:val="both"/>
      </w:pPr>
      <w:r>
        <w:rPr>
          <w:sz w:val="22"/>
          <w:szCs w:val="22"/>
        </w:rPr>
        <w:t>The overall design of the park should be correlated with the findings and the main historical and archaeological themes of the a</w:t>
      </w:r>
      <w:r>
        <w:rPr>
          <w:sz w:val="22"/>
          <w:szCs w:val="22"/>
        </w:rPr>
        <w:t>rea with emphasis on the old fortress, cemetery and existent church. Also, the project should take into account the possibility of creating a space that would be suited for organizing temporary and thematic exhibitions, ensuring the good functionality of t</w:t>
      </w:r>
      <w:r>
        <w:rPr>
          <w:sz w:val="22"/>
          <w:szCs w:val="22"/>
        </w:rPr>
        <w:t>he park which would lead to creating long lasting partnerships with external collaborators and neighboring countries.</w:t>
      </w:r>
    </w:p>
    <w:p w:rsidR="00104405" w:rsidRDefault="005C069C">
      <w:pPr>
        <w:widowControl/>
        <w:spacing w:before="0" w:after="240"/>
        <w:ind w:left="283"/>
        <w:jc w:val="both"/>
      </w:pPr>
      <w:r>
        <w:rPr>
          <w:sz w:val="22"/>
          <w:szCs w:val="22"/>
        </w:rPr>
        <w:t>As an option, it should be considered the possibility of allocating a space for a municipal museum that will host both the on-site finding</w:t>
      </w:r>
      <w:r>
        <w:rPr>
          <w:sz w:val="22"/>
          <w:szCs w:val="22"/>
        </w:rPr>
        <w:t>s and loaned exhibits from the Historical Museum of Moldova, and also museums from abroad.</w:t>
      </w:r>
    </w:p>
    <w:p w:rsidR="00104405" w:rsidRDefault="005C069C">
      <w:pPr>
        <w:widowControl/>
        <w:spacing w:before="0" w:after="240"/>
        <w:ind w:left="283"/>
        <w:jc w:val="both"/>
      </w:pPr>
      <w:r>
        <w:rPr>
          <w:sz w:val="22"/>
          <w:szCs w:val="22"/>
        </w:rPr>
        <w:t>The general layout of the park should be comfortable for use both in academical/archaeological interests and also in recreational purposes for the inhabitants of the</w:t>
      </w:r>
      <w:r>
        <w:rPr>
          <w:sz w:val="22"/>
          <w:szCs w:val="22"/>
        </w:rPr>
        <w:t xml:space="preserve"> city creating a green point of attraction and much needed shade in the torrid urban summers.</w:t>
      </w:r>
    </w:p>
    <w:p w:rsidR="00104405" w:rsidRDefault="005C069C">
      <w:pPr>
        <w:widowControl/>
        <w:spacing w:before="0" w:after="240"/>
        <w:ind w:left="283"/>
        <w:jc w:val="both"/>
      </w:pPr>
      <w:r>
        <w:rPr>
          <w:sz w:val="22"/>
          <w:szCs w:val="22"/>
        </w:rPr>
        <w:lastRenderedPageBreak/>
        <w:t>Also, the design process and output should take into account the sentimental and religious value and the `spirit of the place` of the studied area.</w:t>
      </w:r>
    </w:p>
    <w:p w:rsidR="00104405" w:rsidRDefault="005C069C">
      <w:pPr>
        <w:widowControl/>
        <w:spacing w:before="0" w:after="240"/>
        <w:ind w:left="283"/>
        <w:jc w:val="both"/>
        <w:rPr>
          <w:i/>
          <w:color w:val="000000"/>
          <w:sz w:val="22"/>
          <w:szCs w:val="22"/>
        </w:rPr>
      </w:pPr>
      <w:r>
        <w:rPr>
          <w:sz w:val="22"/>
          <w:szCs w:val="22"/>
        </w:rPr>
        <w:t>The landscape modifications should preserve the existing greeneries that are in good shape, and improve the general quality of the green areas by selective plantings with trees and bushes endemic to the area.</w:t>
      </w:r>
    </w:p>
    <w:p w:rsidR="00104405" w:rsidRDefault="005C069C">
      <w:pPr>
        <w:ind w:left="709" w:hanging="349"/>
        <w:rPr>
          <w:sz w:val="22"/>
          <w:szCs w:val="22"/>
        </w:rPr>
      </w:pPr>
      <w:r>
        <w:rPr>
          <w:b/>
          <w:sz w:val="22"/>
          <w:szCs w:val="22"/>
        </w:rPr>
        <w:t xml:space="preserve">8. </w:t>
      </w:r>
      <w:r>
        <w:rPr>
          <w:b/>
          <w:sz w:val="22"/>
          <w:szCs w:val="22"/>
        </w:rPr>
        <w:tab/>
        <w:t>Number and titles of lots</w:t>
      </w:r>
    </w:p>
    <w:p w:rsidR="00104405" w:rsidRDefault="005C069C">
      <w:pPr>
        <w:ind w:left="709" w:hanging="349"/>
        <w:rPr>
          <w:sz w:val="22"/>
          <w:szCs w:val="22"/>
          <w:highlight w:val="white"/>
        </w:rPr>
      </w:pPr>
      <w:r>
        <w:rPr>
          <w:sz w:val="22"/>
          <w:szCs w:val="22"/>
          <w:highlight w:val="white"/>
        </w:rPr>
        <w:t>One lot only.</w:t>
      </w:r>
    </w:p>
    <w:p w:rsidR="00104405" w:rsidRDefault="005C069C">
      <w:pPr>
        <w:ind w:left="709" w:hanging="349"/>
        <w:rPr>
          <w:b/>
          <w:sz w:val="22"/>
          <w:szCs w:val="22"/>
        </w:rPr>
      </w:pPr>
      <w:r>
        <w:rPr>
          <w:b/>
          <w:sz w:val="22"/>
          <w:szCs w:val="22"/>
        </w:rPr>
        <w:t xml:space="preserve">9. </w:t>
      </w:r>
      <w:r>
        <w:rPr>
          <w:b/>
          <w:sz w:val="22"/>
          <w:szCs w:val="22"/>
        </w:rPr>
        <w:tab/>
        <w:t>Maximum budget</w:t>
      </w:r>
    </w:p>
    <w:p w:rsidR="00104405" w:rsidRDefault="005C069C">
      <w:pPr>
        <w:widowControl/>
        <w:spacing w:before="0" w:after="120"/>
        <w:ind w:left="283"/>
        <w:jc w:val="both"/>
        <w:rPr>
          <w:sz w:val="22"/>
          <w:szCs w:val="22"/>
        </w:rPr>
      </w:pPr>
      <w:r>
        <w:rPr>
          <w:sz w:val="22"/>
          <w:szCs w:val="22"/>
        </w:rPr>
        <w:t>210 000,00 MDL (VAT excluded).</w:t>
      </w:r>
    </w:p>
    <w:p w:rsidR="00104405" w:rsidRDefault="00104405">
      <w:pPr>
        <w:pBdr>
          <w:top w:val="nil"/>
          <w:left w:val="nil"/>
          <w:bottom w:val="nil"/>
          <w:right w:val="nil"/>
          <w:between w:val="nil"/>
        </w:pBdr>
        <w:ind w:left="360" w:right="360"/>
        <w:jc w:val="both"/>
        <w:rPr>
          <w:sz w:val="22"/>
          <w:szCs w:val="22"/>
          <w:highlight w:val="yellow"/>
        </w:rPr>
      </w:pPr>
    </w:p>
    <w:p w:rsidR="00104405" w:rsidRDefault="005C069C">
      <w:pPr>
        <w:pBdr>
          <w:top w:val="nil"/>
          <w:left w:val="nil"/>
          <w:bottom w:val="nil"/>
          <w:right w:val="nil"/>
          <w:between w:val="nil"/>
        </w:pBdr>
        <w:ind w:left="360" w:right="360"/>
        <w:jc w:val="both"/>
        <w:rPr>
          <w:color w:val="000000"/>
          <w:sz w:val="22"/>
          <w:szCs w:val="22"/>
        </w:rPr>
      </w:pPr>
      <w:r>
        <w:rPr>
          <w:noProof/>
        </w:rPr>
        <mc:AlternateContent>
          <mc:Choice Requires="wps">
            <w:drawing>
              <wp:anchor distT="0" distB="0" distL="114300" distR="114300" simplePos="0" relativeHeight="251659264" behindDoc="0" locked="0" layoutInCell="1" hidden="0" allowOverlap="1">
                <wp:simplePos x="0" y="0"/>
                <wp:positionH relativeFrom="column">
                  <wp:posOffset>114300</wp:posOffset>
                </wp:positionH>
                <wp:positionV relativeFrom="paragraph">
                  <wp:posOffset>0</wp:posOffset>
                </wp:positionV>
                <wp:extent cx="0" cy="12700"/>
                <wp:effectExtent l="0" t="0" r="0" b="0"/>
                <wp:wrapNone/>
                <wp:docPr id="7" name="Straight Arrow Connector 7"/>
                <wp:cNvGraphicFramePr/>
                <a:graphic xmlns:a="http://schemas.openxmlformats.org/drawingml/2006/main">
                  <a:graphicData uri="http://schemas.microsoft.com/office/word/2010/wordprocessingShape">
                    <wps:wsp>
                      <wps:cNvCnPr/>
                      <wps:spPr>
                        <a:xfrm>
                          <a:off x="2374201" y="3779682"/>
                          <a:ext cx="5943599" cy="636"/>
                        </a:xfrm>
                        <a:prstGeom prst="straightConnector1">
                          <a:avLst/>
                        </a:prstGeom>
                        <a:solidFill>
                          <a:srgbClr val="FFFFFF"/>
                        </a:solidFill>
                        <a:ln w="22225" cap="flat" cmpd="sng">
                          <a:solidFill>
                            <a:srgbClr val="D4D4D4"/>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0" cy="12700"/>
                <wp:effectExtent b="0" l="0" r="0" t="0"/>
                <wp:wrapNone/>
                <wp:docPr id="7"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104405" w:rsidRDefault="005C069C">
      <w:pPr>
        <w:jc w:val="center"/>
        <w:rPr>
          <w:b/>
          <w:sz w:val="28"/>
          <w:szCs w:val="28"/>
        </w:rPr>
      </w:pPr>
      <w:r>
        <w:rPr>
          <w:b/>
          <w:sz w:val="28"/>
          <w:szCs w:val="28"/>
        </w:rPr>
        <w:t>CONDITIONS OF PARTICIPATION</w:t>
      </w:r>
    </w:p>
    <w:p w:rsidR="00104405" w:rsidRDefault="00104405">
      <w:pPr>
        <w:jc w:val="center"/>
        <w:rPr>
          <w:b/>
          <w:sz w:val="28"/>
          <w:szCs w:val="28"/>
        </w:rPr>
      </w:pPr>
    </w:p>
    <w:p w:rsidR="00104405" w:rsidRDefault="005C069C">
      <w:pPr>
        <w:pBdr>
          <w:top w:val="nil"/>
          <w:left w:val="nil"/>
          <w:bottom w:val="nil"/>
          <w:right w:val="nil"/>
          <w:between w:val="nil"/>
        </w:pBdr>
        <w:ind w:firstLine="426"/>
        <w:rPr>
          <w:b/>
          <w:color w:val="000000"/>
          <w:sz w:val="22"/>
          <w:szCs w:val="22"/>
        </w:rPr>
      </w:pPr>
      <w:r>
        <w:rPr>
          <w:b/>
          <w:color w:val="000000"/>
          <w:sz w:val="22"/>
          <w:szCs w:val="22"/>
        </w:rPr>
        <w:t>10. Legal basis, eligibility and rules of origin</w:t>
      </w:r>
    </w:p>
    <w:p w:rsidR="00104405" w:rsidRDefault="005C069C">
      <w:pPr>
        <w:widowControl/>
        <w:pBdr>
          <w:top w:val="nil"/>
          <w:left w:val="nil"/>
          <w:bottom w:val="nil"/>
          <w:right w:val="nil"/>
          <w:between w:val="nil"/>
        </w:pBdr>
        <w:spacing w:before="0" w:after="0"/>
        <w:ind w:left="426"/>
        <w:jc w:val="both"/>
        <w:rPr>
          <w:color w:val="000000"/>
          <w:sz w:val="22"/>
          <w:szCs w:val="22"/>
          <w:highlight w:val="white"/>
        </w:rPr>
      </w:pPr>
      <w:r>
        <w:rPr>
          <w:color w:val="000000"/>
          <w:sz w:val="22"/>
          <w:szCs w:val="22"/>
          <w:highlight w:val="white"/>
        </w:rPr>
        <w:t xml:space="preserve">The legal basis of this procedure is Regulation (EU) No 236/2014 of the European Parliament and of the Council of 11 March 2014 laying down common rules and procedures for the implementation of the Union's instruments for financing external action and ENI </w:t>
      </w:r>
      <w:r>
        <w:rPr>
          <w:color w:val="000000"/>
          <w:sz w:val="22"/>
          <w:szCs w:val="22"/>
          <w:highlight w:val="white"/>
        </w:rPr>
        <w:t>instrument. See Annex A2 of the practical guide.</w:t>
      </w:r>
    </w:p>
    <w:p w:rsidR="00104405" w:rsidRDefault="00104405">
      <w:pPr>
        <w:widowControl/>
        <w:pBdr>
          <w:top w:val="nil"/>
          <w:left w:val="nil"/>
          <w:bottom w:val="nil"/>
          <w:right w:val="nil"/>
          <w:between w:val="nil"/>
        </w:pBdr>
        <w:spacing w:before="0" w:after="0"/>
        <w:ind w:left="426"/>
        <w:jc w:val="both"/>
        <w:rPr>
          <w:color w:val="000000"/>
          <w:sz w:val="22"/>
          <w:szCs w:val="22"/>
          <w:highlight w:val="white"/>
        </w:rPr>
      </w:pPr>
    </w:p>
    <w:p w:rsidR="00104405" w:rsidRDefault="005C069C">
      <w:pPr>
        <w:widowControl/>
        <w:pBdr>
          <w:top w:val="nil"/>
          <w:left w:val="nil"/>
          <w:bottom w:val="nil"/>
          <w:right w:val="nil"/>
          <w:between w:val="nil"/>
        </w:pBdr>
        <w:spacing w:before="0" w:after="0"/>
        <w:ind w:left="426"/>
        <w:jc w:val="both"/>
        <w:rPr>
          <w:rFonts w:ascii="Arial" w:eastAsia="Arial" w:hAnsi="Arial" w:cs="Arial"/>
          <w:color w:val="000000"/>
          <w:sz w:val="22"/>
          <w:szCs w:val="22"/>
          <w:highlight w:val="white"/>
        </w:rPr>
      </w:pPr>
      <w:r>
        <w:rPr>
          <w:color w:val="000000"/>
          <w:sz w:val="22"/>
          <w:szCs w:val="22"/>
          <w:highlight w:val="white"/>
        </w:rPr>
        <w:t>Participation is open to all natural persons who are nationals of and legal persons (participating either individually or in a grouping – consortium – of candidates/tenderers) which are effectively establis</w:t>
      </w:r>
      <w:r>
        <w:rPr>
          <w:color w:val="000000"/>
          <w:sz w:val="22"/>
          <w:szCs w:val="22"/>
          <w:highlight w:val="white"/>
        </w:rPr>
        <w:t>hed in a  Member State of the European Union or in a eligible country or territory as defined under Article 8 of Regulation (EU) No 236/2014 establishing common rules and procedures for the implementation of the Union's instruments for external action (CIR</w:t>
      </w:r>
      <w:r>
        <w:rPr>
          <w:color w:val="000000"/>
          <w:sz w:val="22"/>
          <w:szCs w:val="22"/>
          <w:highlight w:val="white"/>
        </w:rPr>
        <w:t>) for the applicable instrument under which the contract is financed</w:t>
      </w:r>
      <w:r>
        <w:rPr>
          <w:rFonts w:ascii="Arial" w:eastAsia="Arial" w:hAnsi="Arial" w:cs="Arial"/>
          <w:color w:val="000000"/>
          <w:sz w:val="22"/>
          <w:szCs w:val="22"/>
          <w:highlight w:val="white"/>
        </w:rPr>
        <w:t>. </w:t>
      </w:r>
    </w:p>
    <w:p w:rsidR="00104405" w:rsidRDefault="005C069C">
      <w:pPr>
        <w:widowControl/>
        <w:pBdr>
          <w:top w:val="nil"/>
          <w:left w:val="nil"/>
          <w:bottom w:val="nil"/>
          <w:right w:val="nil"/>
          <w:between w:val="nil"/>
        </w:pBdr>
        <w:spacing w:before="0" w:after="0"/>
        <w:ind w:left="426"/>
        <w:jc w:val="both"/>
        <w:rPr>
          <w:rFonts w:ascii="Arial" w:eastAsia="Arial" w:hAnsi="Arial" w:cs="Arial"/>
          <w:color w:val="000000"/>
          <w:sz w:val="22"/>
          <w:szCs w:val="22"/>
          <w:highlight w:val="white"/>
        </w:rPr>
      </w:pPr>
      <w:r>
        <w:rPr>
          <w:color w:val="000000"/>
          <w:sz w:val="22"/>
          <w:szCs w:val="22"/>
          <w:highlight w:val="white"/>
        </w:rPr>
        <w:t xml:space="preserve">Participation is also open to international </w:t>
      </w:r>
      <w:r>
        <w:rPr>
          <w:sz w:val="22"/>
          <w:szCs w:val="22"/>
          <w:highlight w:val="white"/>
        </w:rPr>
        <w:t>organizations</w:t>
      </w:r>
      <w:r>
        <w:rPr>
          <w:color w:val="000000"/>
          <w:sz w:val="22"/>
          <w:szCs w:val="22"/>
          <w:highlight w:val="white"/>
        </w:rPr>
        <w:t>.</w:t>
      </w:r>
    </w:p>
    <w:p w:rsidR="00104405" w:rsidRDefault="00104405">
      <w:pPr>
        <w:widowControl/>
        <w:pBdr>
          <w:top w:val="nil"/>
          <w:left w:val="nil"/>
          <w:bottom w:val="nil"/>
          <w:right w:val="nil"/>
          <w:between w:val="nil"/>
        </w:pBdr>
        <w:spacing w:before="0" w:after="0"/>
        <w:jc w:val="both"/>
        <w:rPr>
          <w:color w:val="000000"/>
          <w:sz w:val="22"/>
          <w:szCs w:val="22"/>
          <w:highlight w:val="lightGray"/>
        </w:rPr>
      </w:pPr>
    </w:p>
    <w:p w:rsidR="00104405" w:rsidRDefault="005C069C">
      <w:pPr>
        <w:ind w:left="709" w:hanging="349"/>
        <w:rPr>
          <w:sz w:val="22"/>
          <w:szCs w:val="22"/>
        </w:rPr>
      </w:pPr>
      <w:bookmarkStart w:id="2" w:name="_heading=h.30j0zll" w:colFirst="0" w:colLast="0"/>
      <w:bookmarkEnd w:id="2"/>
      <w:r>
        <w:rPr>
          <w:b/>
          <w:sz w:val="22"/>
          <w:szCs w:val="22"/>
        </w:rPr>
        <w:t xml:space="preserve">11. </w:t>
      </w:r>
      <w:r>
        <w:rPr>
          <w:b/>
          <w:sz w:val="22"/>
          <w:szCs w:val="22"/>
        </w:rPr>
        <w:tab/>
        <w:t>Number of tenders</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No more than one tender can be submitted by a natural or legal person whatever the form of participati</w:t>
      </w:r>
      <w:r>
        <w:rPr>
          <w:color w:val="000000"/>
          <w:sz w:val="22"/>
          <w:szCs w:val="22"/>
        </w:rPr>
        <w:t>on (as an individual legal entity or as leader or member of a consortium submitting a tender).  In the event that a natural or legal person submits more than one tender, all tenders in which that person has participated will be excluded.</w:t>
      </w:r>
    </w:p>
    <w:p w:rsidR="00104405" w:rsidRDefault="00104405">
      <w:pPr>
        <w:pBdr>
          <w:top w:val="nil"/>
          <w:left w:val="nil"/>
          <w:bottom w:val="nil"/>
          <w:right w:val="nil"/>
          <w:between w:val="nil"/>
        </w:pBdr>
        <w:ind w:left="360" w:right="360"/>
        <w:jc w:val="both"/>
        <w:rPr>
          <w:i/>
          <w:color w:val="000000"/>
          <w:sz w:val="22"/>
          <w:szCs w:val="22"/>
        </w:rPr>
      </w:pPr>
    </w:p>
    <w:p w:rsidR="00104405" w:rsidRDefault="005C069C">
      <w:pPr>
        <w:ind w:left="709" w:hanging="349"/>
        <w:rPr>
          <w:sz w:val="22"/>
          <w:szCs w:val="22"/>
        </w:rPr>
      </w:pPr>
      <w:r>
        <w:rPr>
          <w:b/>
          <w:sz w:val="22"/>
          <w:szCs w:val="22"/>
        </w:rPr>
        <w:t xml:space="preserve">12. </w:t>
      </w:r>
      <w:r>
        <w:rPr>
          <w:b/>
          <w:sz w:val="22"/>
          <w:szCs w:val="22"/>
        </w:rPr>
        <w:tab/>
        <w:t xml:space="preserve">Grounds for </w:t>
      </w:r>
      <w:r>
        <w:rPr>
          <w:b/>
          <w:sz w:val="22"/>
          <w:szCs w:val="22"/>
        </w:rPr>
        <w:t>exclusion</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 xml:space="preserve">As part of the tender, tenderers must submit a signed declaration, included in the tender form, to the effect that they are not in any of the exclusion situations listed in Section 2.6.10.1. of the practical guide. </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 xml:space="preserve">Tenderer included in the lists of EU restrictive measures (see Section 2.4. of the PRAG) at the moment of the award decision cannot be awarded the contract. </w:t>
      </w:r>
    </w:p>
    <w:p w:rsidR="00104405" w:rsidRDefault="005C069C">
      <w:pPr>
        <w:ind w:left="709" w:hanging="349"/>
        <w:rPr>
          <w:sz w:val="22"/>
          <w:szCs w:val="22"/>
        </w:rPr>
      </w:pPr>
      <w:r>
        <w:rPr>
          <w:b/>
          <w:sz w:val="22"/>
          <w:szCs w:val="22"/>
        </w:rPr>
        <w:t xml:space="preserve">13. </w:t>
      </w:r>
      <w:r>
        <w:rPr>
          <w:b/>
          <w:sz w:val="22"/>
          <w:szCs w:val="22"/>
        </w:rPr>
        <w:tab/>
        <w:t>Sub-contracting</w:t>
      </w:r>
    </w:p>
    <w:p w:rsidR="00104405" w:rsidRDefault="005C069C">
      <w:pPr>
        <w:ind w:left="709" w:hanging="349"/>
        <w:rPr>
          <w:sz w:val="22"/>
          <w:szCs w:val="22"/>
        </w:rPr>
      </w:pPr>
      <w:r>
        <w:rPr>
          <w:sz w:val="22"/>
          <w:szCs w:val="22"/>
        </w:rPr>
        <w:t>Subcontracting is allowed.</w:t>
      </w:r>
    </w:p>
    <w:p w:rsidR="00104405" w:rsidRDefault="005C069C">
      <w:pPr>
        <w:keepNext/>
        <w:jc w:val="center"/>
        <w:rPr>
          <w:sz w:val="28"/>
          <w:szCs w:val="28"/>
        </w:rPr>
      </w:pPr>
      <w:r>
        <w:rPr>
          <w:b/>
          <w:sz w:val="28"/>
          <w:szCs w:val="28"/>
        </w:rPr>
        <w:t>PROVISIONAL TIMETABLE</w:t>
      </w:r>
      <w:r>
        <w:rPr>
          <w:noProof/>
        </w:rPr>
        <mc:AlternateContent>
          <mc:Choice Requires="wps">
            <w:drawing>
              <wp:anchor distT="0" distB="0" distL="114300" distR="114300" simplePos="0" relativeHeight="251660288" behindDoc="0" locked="0" layoutInCell="1" hidden="0" allowOverlap="1">
                <wp:simplePos x="0" y="0"/>
                <wp:positionH relativeFrom="column">
                  <wp:posOffset>114300</wp:posOffset>
                </wp:positionH>
                <wp:positionV relativeFrom="paragraph">
                  <wp:posOffset>0</wp:posOffset>
                </wp:positionV>
                <wp:extent cx="0" cy="12700"/>
                <wp:effectExtent l="0" t="0" r="0" b="0"/>
                <wp:wrapNone/>
                <wp:docPr id="10" name="Straight Arrow Connector 10"/>
                <wp:cNvGraphicFramePr/>
                <a:graphic xmlns:a="http://schemas.openxmlformats.org/drawingml/2006/main">
                  <a:graphicData uri="http://schemas.microsoft.com/office/word/2010/wordprocessingShape">
                    <wps:wsp>
                      <wps:cNvCnPr/>
                      <wps:spPr>
                        <a:xfrm>
                          <a:off x="2374200" y="3779683"/>
                          <a:ext cx="5943600" cy="634"/>
                        </a:xfrm>
                        <a:prstGeom prst="straightConnector1">
                          <a:avLst/>
                        </a:prstGeom>
                        <a:solidFill>
                          <a:srgbClr val="FFFFFF"/>
                        </a:solidFill>
                        <a:ln w="22225" cap="flat" cmpd="sng">
                          <a:solidFill>
                            <a:srgbClr val="D4D4D4"/>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0" cy="12700"/>
                <wp:effectExtent b="0" l="0" r="0" t="0"/>
                <wp:wrapNone/>
                <wp:docPr id="10"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104405" w:rsidRDefault="005C069C">
      <w:pPr>
        <w:ind w:left="709" w:hanging="349"/>
        <w:rPr>
          <w:sz w:val="22"/>
          <w:szCs w:val="22"/>
        </w:rPr>
      </w:pPr>
      <w:r>
        <w:rPr>
          <w:b/>
          <w:sz w:val="22"/>
          <w:szCs w:val="22"/>
        </w:rPr>
        <w:t xml:space="preserve">14. </w:t>
      </w:r>
      <w:r>
        <w:rPr>
          <w:b/>
          <w:sz w:val="22"/>
          <w:szCs w:val="22"/>
        </w:rPr>
        <w:tab/>
      </w:r>
      <w:r>
        <w:rPr>
          <w:b/>
          <w:sz w:val="22"/>
          <w:szCs w:val="22"/>
        </w:rPr>
        <w:t>Provisional commencement date of the contract</w:t>
      </w:r>
    </w:p>
    <w:p w:rsidR="00104405" w:rsidRDefault="005C069C">
      <w:pPr>
        <w:pBdr>
          <w:top w:val="nil"/>
          <w:left w:val="nil"/>
          <w:bottom w:val="nil"/>
          <w:right w:val="nil"/>
          <w:between w:val="nil"/>
        </w:pBdr>
        <w:ind w:left="360" w:right="360"/>
        <w:jc w:val="both"/>
        <w:rPr>
          <w:i/>
          <w:color w:val="000000"/>
          <w:sz w:val="22"/>
          <w:szCs w:val="22"/>
        </w:rPr>
      </w:pPr>
      <w:r>
        <w:rPr>
          <w:sz w:val="22"/>
          <w:szCs w:val="22"/>
        </w:rPr>
        <w:lastRenderedPageBreak/>
        <w:t>October 2022</w:t>
      </w:r>
    </w:p>
    <w:p w:rsidR="00104405" w:rsidRDefault="005C069C">
      <w:pPr>
        <w:ind w:left="709" w:hanging="349"/>
        <w:rPr>
          <w:sz w:val="22"/>
          <w:szCs w:val="22"/>
        </w:rPr>
      </w:pPr>
      <w:r>
        <w:rPr>
          <w:b/>
          <w:sz w:val="22"/>
          <w:szCs w:val="22"/>
        </w:rPr>
        <w:t xml:space="preserve">15. </w:t>
      </w:r>
      <w:r>
        <w:rPr>
          <w:b/>
          <w:sz w:val="22"/>
          <w:szCs w:val="22"/>
        </w:rPr>
        <w:tab/>
        <w:t xml:space="preserve">Implementation period of the tasks </w:t>
      </w:r>
    </w:p>
    <w:p w:rsidR="00104405" w:rsidRDefault="005C069C">
      <w:pPr>
        <w:pBdr>
          <w:top w:val="nil"/>
          <w:left w:val="nil"/>
          <w:bottom w:val="nil"/>
          <w:right w:val="nil"/>
          <w:between w:val="nil"/>
        </w:pBdr>
        <w:ind w:left="360" w:right="360"/>
        <w:jc w:val="both"/>
        <w:rPr>
          <w:i/>
          <w:color w:val="000000"/>
          <w:sz w:val="22"/>
          <w:szCs w:val="22"/>
        </w:rPr>
      </w:pPr>
      <w:r>
        <w:rPr>
          <w:sz w:val="22"/>
          <w:szCs w:val="22"/>
        </w:rPr>
        <w:t>2 (two) months</w:t>
      </w:r>
    </w:p>
    <w:p w:rsidR="00104405" w:rsidRDefault="005C069C">
      <w:pPr>
        <w:rPr>
          <w:sz w:val="22"/>
          <w:szCs w:val="22"/>
        </w:rPr>
      </w:pPr>
      <w:r>
        <w:rPr>
          <w:noProof/>
        </w:rPr>
        <mc:AlternateContent>
          <mc:Choice Requires="wps">
            <w:drawing>
              <wp:anchor distT="0" distB="0" distL="114300" distR="114300" simplePos="0" relativeHeight="251661312" behindDoc="0" locked="0" layoutInCell="1" hidden="0" allowOverlap="1">
                <wp:simplePos x="0" y="0"/>
                <wp:positionH relativeFrom="column">
                  <wp:posOffset>114300</wp:posOffset>
                </wp:positionH>
                <wp:positionV relativeFrom="paragraph">
                  <wp:posOffset>0</wp:posOffset>
                </wp:positionV>
                <wp:extent cx="0" cy="12700"/>
                <wp:effectExtent l="0" t="0" r="0" b="0"/>
                <wp:wrapNone/>
                <wp:docPr id="9" name="Straight Arrow Connector 9"/>
                <wp:cNvGraphicFramePr/>
                <a:graphic xmlns:a="http://schemas.openxmlformats.org/drawingml/2006/main">
                  <a:graphicData uri="http://schemas.microsoft.com/office/word/2010/wordprocessingShape">
                    <wps:wsp>
                      <wps:cNvCnPr/>
                      <wps:spPr>
                        <a:xfrm>
                          <a:off x="2374200" y="3779683"/>
                          <a:ext cx="5943600" cy="635"/>
                        </a:xfrm>
                        <a:prstGeom prst="straightConnector1">
                          <a:avLst/>
                        </a:prstGeom>
                        <a:solidFill>
                          <a:srgbClr val="FFFFFF"/>
                        </a:solidFill>
                        <a:ln w="22225" cap="flat" cmpd="sng">
                          <a:solidFill>
                            <a:srgbClr val="D4D4D4"/>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0" cy="12700"/>
                <wp:effectExtent b="0" l="0" r="0" t="0"/>
                <wp:wrapNone/>
                <wp:docPr id="9"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p>
    <w:p w:rsidR="00104405" w:rsidRDefault="005C069C">
      <w:pPr>
        <w:jc w:val="center"/>
        <w:rPr>
          <w:sz w:val="28"/>
          <w:szCs w:val="28"/>
        </w:rPr>
      </w:pPr>
      <w:r>
        <w:rPr>
          <w:b/>
          <w:sz w:val="28"/>
          <w:szCs w:val="28"/>
        </w:rPr>
        <w:t>SELECTION AND AWARD CRITERIA</w:t>
      </w:r>
    </w:p>
    <w:p w:rsidR="00104405" w:rsidRDefault="005C069C">
      <w:pPr>
        <w:ind w:left="709" w:hanging="349"/>
        <w:rPr>
          <w:b/>
          <w:sz w:val="22"/>
          <w:szCs w:val="22"/>
        </w:rPr>
      </w:pPr>
      <w:r>
        <w:rPr>
          <w:b/>
          <w:sz w:val="22"/>
          <w:szCs w:val="22"/>
        </w:rPr>
        <w:t xml:space="preserve">16. </w:t>
      </w:r>
      <w:r>
        <w:rPr>
          <w:b/>
          <w:sz w:val="22"/>
          <w:szCs w:val="22"/>
        </w:rPr>
        <w:tab/>
        <w:t>Selection criteria</w:t>
      </w:r>
    </w:p>
    <w:p w:rsidR="00104405" w:rsidRDefault="005C069C">
      <w:pPr>
        <w:widowControl/>
        <w:spacing w:before="240" w:after="0"/>
        <w:ind w:left="426"/>
        <w:jc w:val="both"/>
        <w:rPr>
          <w:sz w:val="22"/>
          <w:szCs w:val="22"/>
        </w:rPr>
      </w:pPr>
      <w:r>
        <w:rPr>
          <w:sz w:val="22"/>
          <w:szCs w:val="22"/>
        </w:rPr>
        <w:t>Capacity-providing entities</w:t>
      </w:r>
    </w:p>
    <w:p w:rsidR="00104405" w:rsidRDefault="005C069C">
      <w:pPr>
        <w:widowControl/>
        <w:spacing w:before="240" w:after="0"/>
        <w:ind w:left="426"/>
        <w:jc w:val="both"/>
        <w:rPr>
          <w:sz w:val="22"/>
          <w:szCs w:val="22"/>
        </w:rPr>
      </w:pPr>
      <w:r>
        <w:rPr>
          <w:sz w:val="22"/>
          <w:szCs w:val="22"/>
        </w:rPr>
        <w:t>An economic operator (i.e. candidate or tenderer) may, whe</w:t>
      </w:r>
      <w:r>
        <w:rPr>
          <w:sz w:val="22"/>
          <w:szCs w:val="22"/>
        </w:rPr>
        <w:t>re appropriate and for a particular contract, rely on the capacities of other entities, regardless of the legal nature of the links it has with them. If the economic operator relies on other entities, it must in that case prove to the contracting authority</w:t>
      </w:r>
      <w:r>
        <w:rPr>
          <w:sz w:val="22"/>
          <w:szCs w:val="22"/>
        </w:rPr>
        <w:t xml:space="preserve"> that it will have at its disposal the resources necessary for the performance of the contract by producing a commitment by those entities to place those resources at its disposal. Such entities, for instance the parent company of the economic operator, mu</w:t>
      </w:r>
      <w:r>
        <w:rPr>
          <w:sz w:val="22"/>
          <w:szCs w:val="22"/>
        </w:rPr>
        <w:t xml:space="preserve">st respect the same rules of eligibility and notably that of nationality as the economic operator relying on them and must comply with the selection criteria for which the economic operator relies on them. </w:t>
      </w:r>
      <w:r>
        <w:rPr>
          <w:b/>
          <w:sz w:val="22"/>
          <w:szCs w:val="22"/>
        </w:rPr>
        <w:t>Furthermore, the data for this third entity for th</w:t>
      </w:r>
      <w:r>
        <w:rPr>
          <w:b/>
          <w:sz w:val="22"/>
          <w:szCs w:val="22"/>
        </w:rPr>
        <w:t>e relevant selection criterion should be included in a separate document</w:t>
      </w:r>
      <w:r>
        <w:rPr>
          <w:sz w:val="22"/>
          <w:szCs w:val="22"/>
        </w:rPr>
        <w:t>. Proof of the capacity will also have to be provided when requested by the contracting authority.</w:t>
      </w:r>
    </w:p>
    <w:p w:rsidR="00104405" w:rsidRDefault="005C069C">
      <w:pPr>
        <w:widowControl/>
        <w:spacing w:before="240" w:after="0"/>
        <w:ind w:left="426"/>
        <w:jc w:val="both"/>
        <w:rPr>
          <w:sz w:val="22"/>
          <w:szCs w:val="22"/>
        </w:rPr>
      </w:pPr>
      <w:r>
        <w:rPr>
          <w:sz w:val="22"/>
          <w:szCs w:val="22"/>
        </w:rPr>
        <w:t>With regard to technical and professional criteria, an economic operator may only rel</w:t>
      </w:r>
      <w:r>
        <w:rPr>
          <w:sz w:val="22"/>
          <w:szCs w:val="22"/>
        </w:rPr>
        <w:t xml:space="preserve">y on the capacities of other entities where the latter will perform the tasks for which these capacities are required. </w:t>
      </w:r>
    </w:p>
    <w:p w:rsidR="00104405" w:rsidRDefault="005C069C">
      <w:pPr>
        <w:widowControl/>
        <w:spacing w:before="240" w:after="0"/>
        <w:ind w:left="426"/>
        <w:jc w:val="both"/>
        <w:rPr>
          <w:sz w:val="22"/>
          <w:szCs w:val="22"/>
          <w:highlight w:val="yellow"/>
        </w:rPr>
      </w:pPr>
      <w:r>
        <w:rPr>
          <w:sz w:val="22"/>
          <w:szCs w:val="22"/>
        </w:rPr>
        <w:t>With regard to economic and financial criteria, the entities upon whose capacity the economic operator relies, become jointly and severa</w:t>
      </w:r>
      <w:r>
        <w:rPr>
          <w:sz w:val="22"/>
          <w:szCs w:val="22"/>
        </w:rPr>
        <w:t>lly liable for the performance of the contract.</w:t>
      </w:r>
    </w:p>
    <w:p w:rsidR="00104405" w:rsidRDefault="00104405">
      <w:pPr>
        <w:ind w:left="709" w:hanging="349"/>
        <w:rPr>
          <w:sz w:val="22"/>
          <w:szCs w:val="22"/>
        </w:rPr>
      </w:pP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The following selection criteria will be applied to the tenderers. In the case of tenders submitted by a consortium, these selection criteria will be applied to the consortium as a whole if not specified oth</w:t>
      </w:r>
      <w:r>
        <w:rPr>
          <w:color w:val="000000"/>
          <w:sz w:val="22"/>
          <w:szCs w:val="22"/>
        </w:rPr>
        <w:t>erwise. The selection criteria will not be applied to natural persons and single-member companies when they are sub-contractors.</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The tenderer shall not use previous experience which caused breach of contract and termination by a contracting authority as a reference for selection criteria.</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Previous experience which would have led to breach of contract and termination by a contracting</w:t>
      </w:r>
      <w:r>
        <w:rPr>
          <w:color w:val="000000"/>
          <w:sz w:val="22"/>
          <w:szCs w:val="22"/>
        </w:rPr>
        <w:t xml:space="preserve"> authority shall not be used as reference. This is also applicable concerning the previous experience of experts required under a fee-based service contract.</w:t>
      </w:r>
    </w:p>
    <w:p w:rsidR="00104405" w:rsidRDefault="00104405">
      <w:pPr>
        <w:pBdr>
          <w:top w:val="nil"/>
          <w:left w:val="nil"/>
          <w:bottom w:val="nil"/>
          <w:right w:val="nil"/>
          <w:between w:val="nil"/>
        </w:pBdr>
        <w:ind w:left="360" w:right="360"/>
        <w:jc w:val="both"/>
        <w:rPr>
          <w:color w:val="000000"/>
          <w:sz w:val="22"/>
          <w:szCs w:val="22"/>
        </w:rPr>
      </w:pPr>
    </w:p>
    <w:p w:rsidR="00104405" w:rsidRDefault="005C069C">
      <w:pPr>
        <w:ind w:left="709" w:hanging="349"/>
        <w:rPr>
          <w:sz w:val="22"/>
          <w:szCs w:val="22"/>
        </w:rPr>
      </w:pPr>
      <w:r>
        <w:rPr>
          <w:b/>
          <w:sz w:val="22"/>
          <w:szCs w:val="22"/>
        </w:rPr>
        <w:t xml:space="preserve">17. </w:t>
      </w:r>
      <w:r>
        <w:rPr>
          <w:b/>
          <w:sz w:val="22"/>
          <w:szCs w:val="22"/>
        </w:rPr>
        <w:tab/>
        <w:t>Award criteria</w:t>
      </w:r>
    </w:p>
    <w:p w:rsidR="00104405" w:rsidRDefault="005C069C">
      <w:pPr>
        <w:pBdr>
          <w:top w:val="nil"/>
          <w:left w:val="nil"/>
          <w:bottom w:val="nil"/>
          <w:right w:val="nil"/>
          <w:between w:val="nil"/>
        </w:pBdr>
        <w:ind w:left="360" w:right="1"/>
        <w:jc w:val="both"/>
        <w:rPr>
          <w:color w:val="000000"/>
          <w:sz w:val="22"/>
          <w:szCs w:val="22"/>
        </w:rPr>
      </w:pPr>
      <w:r>
        <w:rPr>
          <w:color w:val="000000"/>
          <w:sz w:val="22"/>
          <w:szCs w:val="22"/>
        </w:rPr>
        <w:t xml:space="preserve">Best </w:t>
      </w:r>
      <w:r>
        <w:rPr>
          <w:color w:val="000000"/>
        </w:rPr>
        <w:t>price-quality ratio.</w:t>
      </w:r>
    </w:p>
    <w:p w:rsidR="00104405" w:rsidRDefault="005C069C">
      <w:pPr>
        <w:rPr>
          <w:sz w:val="22"/>
          <w:szCs w:val="22"/>
        </w:rPr>
      </w:pPr>
      <w:r>
        <w:rPr>
          <w:noProof/>
        </w:rPr>
        <mc:AlternateContent>
          <mc:Choice Requires="wps">
            <w:drawing>
              <wp:anchor distT="0" distB="0" distL="114300" distR="114300" simplePos="0" relativeHeight="251662336" behindDoc="0" locked="0" layoutInCell="1" hidden="0" allowOverlap="1">
                <wp:simplePos x="0" y="0"/>
                <wp:positionH relativeFrom="column">
                  <wp:posOffset>114300</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2374200" y="3779683"/>
                          <a:ext cx="5943600" cy="635"/>
                        </a:xfrm>
                        <a:prstGeom prst="straightConnector1">
                          <a:avLst/>
                        </a:prstGeom>
                        <a:solidFill>
                          <a:srgbClr val="FFFFFF"/>
                        </a:solidFill>
                        <a:ln w="22225" cap="flat" cmpd="sng">
                          <a:solidFill>
                            <a:srgbClr val="D4D4D4"/>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0" cy="12700"/>
                <wp:effectExtent b="0" l="0" r="0" t="0"/>
                <wp:wrapNone/>
                <wp:docPr id="6"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rsidR="00104405" w:rsidRDefault="005C069C">
      <w:pPr>
        <w:keepNext/>
        <w:jc w:val="center"/>
        <w:rPr>
          <w:sz w:val="28"/>
          <w:szCs w:val="28"/>
        </w:rPr>
      </w:pPr>
      <w:r>
        <w:rPr>
          <w:b/>
          <w:sz w:val="28"/>
          <w:szCs w:val="28"/>
        </w:rPr>
        <w:t>TENDERING</w:t>
      </w:r>
    </w:p>
    <w:p w:rsidR="00104405" w:rsidRDefault="005C069C">
      <w:pPr>
        <w:keepNext/>
        <w:ind w:left="709" w:hanging="352"/>
        <w:rPr>
          <w:sz w:val="22"/>
          <w:szCs w:val="22"/>
        </w:rPr>
      </w:pPr>
      <w:r>
        <w:rPr>
          <w:b/>
          <w:sz w:val="22"/>
          <w:szCs w:val="22"/>
        </w:rPr>
        <w:t xml:space="preserve">18. </w:t>
      </w:r>
      <w:r>
        <w:rPr>
          <w:b/>
          <w:sz w:val="22"/>
          <w:szCs w:val="22"/>
        </w:rPr>
        <w:tab/>
        <w:t>Deadline for submission of tenders</w:t>
      </w:r>
    </w:p>
    <w:p w:rsidR="00104405" w:rsidRDefault="005C069C">
      <w:pPr>
        <w:pBdr>
          <w:top w:val="nil"/>
          <w:left w:val="nil"/>
          <w:bottom w:val="nil"/>
          <w:right w:val="nil"/>
          <w:between w:val="nil"/>
        </w:pBdr>
        <w:ind w:left="360" w:right="360"/>
        <w:jc w:val="both"/>
        <w:rPr>
          <w:i/>
          <w:color w:val="000000"/>
          <w:sz w:val="22"/>
          <w:szCs w:val="22"/>
        </w:rPr>
      </w:pPr>
      <w:r>
        <w:rPr>
          <w:color w:val="000000"/>
          <w:sz w:val="22"/>
          <w:szCs w:val="22"/>
        </w:rPr>
        <w:t>The deadline for submission of tenders is specified in point 8 of the instruction to tenderers.</w:t>
      </w:r>
      <w:r>
        <w:rPr>
          <w:color w:val="000000"/>
          <w:sz w:val="22"/>
          <w:szCs w:val="22"/>
          <w:highlight w:val="yellow"/>
        </w:rPr>
        <w:t xml:space="preserve">    </w:t>
      </w:r>
    </w:p>
    <w:p w:rsidR="00104405" w:rsidRDefault="005C069C">
      <w:pPr>
        <w:ind w:left="709" w:hanging="349"/>
        <w:rPr>
          <w:sz w:val="22"/>
          <w:szCs w:val="22"/>
        </w:rPr>
      </w:pPr>
      <w:r>
        <w:rPr>
          <w:b/>
          <w:sz w:val="22"/>
          <w:szCs w:val="22"/>
        </w:rPr>
        <w:t xml:space="preserve">19. </w:t>
      </w:r>
      <w:r>
        <w:rPr>
          <w:b/>
          <w:sz w:val="22"/>
          <w:szCs w:val="22"/>
        </w:rPr>
        <w:tab/>
        <w:t>Tender format and details to be provided</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 xml:space="preserve">Tenders must be submitted using the standard tender form for simplified procedures, the format and </w:t>
      </w:r>
      <w:r>
        <w:rPr>
          <w:color w:val="000000"/>
          <w:sz w:val="22"/>
          <w:szCs w:val="22"/>
        </w:rPr>
        <w:lastRenderedPageBreak/>
        <w:t>instructio</w:t>
      </w:r>
      <w:r>
        <w:rPr>
          <w:color w:val="000000"/>
          <w:sz w:val="22"/>
          <w:szCs w:val="22"/>
        </w:rPr>
        <w:t xml:space="preserve">ns of which must be strictly observed. The tender form is available from the following internet address: </w:t>
      </w:r>
      <w:hyperlink r:id="rId13">
        <w:r>
          <w:rPr>
            <w:color w:val="0000FF"/>
            <w:sz w:val="22"/>
            <w:szCs w:val="22"/>
            <w:u w:val="single"/>
          </w:rPr>
          <w:t>http://ec.europa.eu/europeaid/prag/annexes.do?group=B</w:t>
        </w:r>
      </w:hyperlink>
      <w:r>
        <w:rPr>
          <w:color w:val="000000"/>
          <w:sz w:val="22"/>
          <w:szCs w:val="22"/>
        </w:rPr>
        <w:t xml:space="preserve"> , under the zip file cal</w:t>
      </w:r>
      <w:r>
        <w:rPr>
          <w:color w:val="000000"/>
          <w:sz w:val="22"/>
          <w:szCs w:val="22"/>
        </w:rPr>
        <w:t xml:space="preserve">led Simplified Tender dossier. </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The tender must be accompanied by a declaration on honour on exclusion and selection criteria using the template available from the following Internet address:</w:t>
      </w:r>
    </w:p>
    <w:p w:rsidR="00104405" w:rsidRDefault="005C069C">
      <w:pPr>
        <w:pBdr>
          <w:top w:val="nil"/>
          <w:left w:val="nil"/>
          <w:bottom w:val="nil"/>
          <w:right w:val="nil"/>
          <w:between w:val="nil"/>
        </w:pBdr>
        <w:ind w:left="360" w:right="360"/>
        <w:jc w:val="both"/>
        <w:rPr>
          <w:color w:val="000000"/>
          <w:sz w:val="22"/>
          <w:szCs w:val="22"/>
        </w:rPr>
      </w:pPr>
      <w:hyperlink r:id="rId14">
        <w:r>
          <w:rPr>
            <w:color w:val="0000FF"/>
            <w:sz w:val="22"/>
            <w:szCs w:val="22"/>
            <w:u w:val="single"/>
          </w:rPr>
          <w:t>http://ec.europa.eu/europeaid/prag/annexes.do?chapterTitleCode=A</w:t>
        </w:r>
      </w:hyperlink>
      <w:r>
        <w:rPr>
          <w:color w:val="000000"/>
          <w:sz w:val="22"/>
          <w:szCs w:val="22"/>
        </w:rPr>
        <w:t xml:space="preserve"> </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Any additional documentation (brochure, letter, etc.) sent with a tender will not be taken into consideration.</w:t>
      </w:r>
    </w:p>
    <w:p w:rsidR="00104405" w:rsidRDefault="005C069C">
      <w:pPr>
        <w:ind w:left="709" w:hanging="349"/>
        <w:rPr>
          <w:sz w:val="22"/>
          <w:szCs w:val="22"/>
        </w:rPr>
      </w:pPr>
      <w:r>
        <w:rPr>
          <w:b/>
          <w:sz w:val="22"/>
          <w:szCs w:val="22"/>
        </w:rPr>
        <w:t xml:space="preserve">20. </w:t>
      </w:r>
      <w:r>
        <w:rPr>
          <w:b/>
          <w:sz w:val="22"/>
          <w:szCs w:val="22"/>
        </w:rPr>
        <w:tab/>
        <w:t>How tenders may be submitted</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Tenders must be submitted in English exclusively to the contracting authority, using the means specified in poi</w:t>
      </w:r>
      <w:r>
        <w:rPr>
          <w:color w:val="000000"/>
          <w:sz w:val="22"/>
          <w:szCs w:val="22"/>
        </w:rPr>
        <w:t xml:space="preserve">nt 8 of the instructions to tenderers.  </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Tenders submitted by any other means will not be considered.</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By submitting a tender, tenderers accept to receive notification of the outcome of the procedure by electronic means.</w:t>
      </w:r>
    </w:p>
    <w:p w:rsidR="00104405" w:rsidRDefault="005C069C">
      <w:pPr>
        <w:ind w:left="709" w:hanging="349"/>
        <w:rPr>
          <w:b/>
          <w:sz w:val="22"/>
          <w:szCs w:val="22"/>
        </w:rPr>
      </w:pPr>
      <w:r>
        <w:rPr>
          <w:b/>
          <w:sz w:val="22"/>
          <w:szCs w:val="22"/>
        </w:rPr>
        <w:t>21.</w:t>
      </w:r>
      <w:r>
        <w:rPr>
          <w:b/>
          <w:sz w:val="22"/>
          <w:szCs w:val="22"/>
        </w:rPr>
        <w:tab/>
        <w:t>Alteration or withdrawal of tend</w:t>
      </w:r>
      <w:r>
        <w:rPr>
          <w:b/>
          <w:sz w:val="22"/>
          <w:szCs w:val="22"/>
        </w:rPr>
        <w:t>ers</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Tenderers may alter or withdraw their tenders by written notification prior to the deadline for submission of tenders. No tender may be altered after this deadline.</w:t>
      </w:r>
    </w:p>
    <w:p w:rsidR="00104405" w:rsidRDefault="005C069C">
      <w:pPr>
        <w:pBdr>
          <w:top w:val="nil"/>
          <w:left w:val="nil"/>
          <w:bottom w:val="nil"/>
          <w:right w:val="nil"/>
          <w:between w:val="nil"/>
        </w:pBdr>
        <w:ind w:left="360" w:right="360"/>
        <w:jc w:val="both"/>
        <w:rPr>
          <w:color w:val="000000"/>
          <w:sz w:val="22"/>
          <w:szCs w:val="22"/>
        </w:rPr>
      </w:pPr>
      <w:r>
        <w:rPr>
          <w:color w:val="000000"/>
          <w:sz w:val="22"/>
          <w:szCs w:val="22"/>
        </w:rPr>
        <w:t>Any such notification of alteration or withdrawal shall be prepared and submitted in ac</w:t>
      </w:r>
      <w:r>
        <w:rPr>
          <w:color w:val="000000"/>
          <w:sz w:val="22"/>
          <w:szCs w:val="22"/>
        </w:rPr>
        <w:t xml:space="preserve">cordance with point 9 of the instructions to tenderers. </w:t>
      </w:r>
    </w:p>
    <w:p w:rsidR="00104405" w:rsidRDefault="005C069C">
      <w:pPr>
        <w:keepNext/>
        <w:ind w:left="709" w:hanging="352"/>
        <w:rPr>
          <w:sz w:val="22"/>
          <w:szCs w:val="22"/>
        </w:rPr>
      </w:pPr>
      <w:r>
        <w:rPr>
          <w:b/>
          <w:sz w:val="22"/>
          <w:szCs w:val="22"/>
        </w:rPr>
        <w:t xml:space="preserve">22. </w:t>
      </w:r>
      <w:r>
        <w:rPr>
          <w:b/>
          <w:sz w:val="22"/>
          <w:szCs w:val="22"/>
        </w:rPr>
        <w:tab/>
        <w:t>Operational language</w:t>
      </w:r>
    </w:p>
    <w:p w:rsidR="00104405" w:rsidRDefault="005C069C">
      <w:pPr>
        <w:pBdr>
          <w:top w:val="nil"/>
          <w:left w:val="nil"/>
          <w:bottom w:val="nil"/>
          <w:right w:val="nil"/>
          <w:between w:val="nil"/>
        </w:pBdr>
        <w:ind w:left="360" w:right="360"/>
        <w:jc w:val="both"/>
        <w:rPr>
          <w:i/>
          <w:color w:val="000000"/>
          <w:sz w:val="22"/>
          <w:szCs w:val="22"/>
        </w:rPr>
      </w:pPr>
      <w:r>
        <w:rPr>
          <w:color w:val="000000"/>
          <w:sz w:val="22"/>
          <w:szCs w:val="22"/>
        </w:rPr>
        <w:t>All written communications for this tender procedure and contract must be in English o</w:t>
      </w:r>
      <w:r>
        <w:rPr>
          <w:sz w:val="22"/>
          <w:szCs w:val="22"/>
        </w:rPr>
        <w:t>r</w:t>
      </w:r>
      <w:r>
        <w:rPr>
          <w:color w:val="000000"/>
          <w:sz w:val="22"/>
          <w:szCs w:val="22"/>
        </w:rPr>
        <w:t xml:space="preserve"> Romanian.  </w:t>
      </w:r>
    </w:p>
    <w:p w:rsidR="00104405" w:rsidRDefault="005C069C">
      <w:pPr>
        <w:pBdr>
          <w:top w:val="nil"/>
          <w:left w:val="nil"/>
          <w:bottom w:val="nil"/>
          <w:right w:val="nil"/>
          <w:between w:val="nil"/>
        </w:pBdr>
        <w:ind w:left="360" w:right="360"/>
        <w:jc w:val="both"/>
        <w:rPr>
          <w:b/>
          <w:color w:val="000000"/>
          <w:sz w:val="22"/>
          <w:szCs w:val="22"/>
        </w:rPr>
      </w:pPr>
      <w:r>
        <w:rPr>
          <w:b/>
          <w:color w:val="000000"/>
          <w:sz w:val="22"/>
          <w:szCs w:val="22"/>
        </w:rPr>
        <w:t>23. Additional information</w:t>
      </w:r>
    </w:p>
    <w:p w:rsidR="00104405" w:rsidRDefault="005C069C">
      <w:pPr>
        <w:widowControl/>
        <w:spacing w:after="0"/>
        <w:ind w:left="360" w:right="360"/>
        <w:jc w:val="both"/>
        <w:rPr>
          <w:highlight w:val="white"/>
        </w:rPr>
      </w:pPr>
      <w:r>
        <w:t xml:space="preserve">Financial data to be provided by the candidate in the standard application form  must be </w:t>
      </w:r>
      <w:r>
        <w:rPr>
          <w:highlight w:val="white"/>
        </w:rPr>
        <w:t>expressed in the national currency of the Republic of Moldova.</w:t>
      </w:r>
    </w:p>
    <w:p w:rsidR="00104405" w:rsidRDefault="00104405">
      <w:pPr>
        <w:pBdr>
          <w:top w:val="nil"/>
          <w:left w:val="nil"/>
          <w:bottom w:val="nil"/>
          <w:right w:val="nil"/>
          <w:between w:val="nil"/>
        </w:pBdr>
        <w:ind w:left="360" w:right="360"/>
        <w:jc w:val="both"/>
        <w:rPr>
          <w:color w:val="000000"/>
          <w:sz w:val="22"/>
          <w:szCs w:val="22"/>
        </w:rPr>
      </w:pPr>
    </w:p>
    <w:p w:rsidR="00104405" w:rsidRDefault="00104405">
      <w:pPr>
        <w:pBdr>
          <w:top w:val="nil"/>
          <w:left w:val="nil"/>
          <w:bottom w:val="nil"/>
          <w:right w:val="nil"/>
          <w:between w:val="nil"/>
        </w:pBdr>
        <w:ind w:left="360" w:right="360"/>
        <w:jc w:val="both"/>
        <w:rPr>
          <w:color w:val="000000"/>
          <w:sz w:val="22"/>
          <w:szCs w:val="22"/>
        </w:rPr>
      </w:pPr>
    </w:p>
    <w:p w:rsidR="00104405" w:rsidRDefault="00104405">
      <w:pPr>
        <w:pBdr>
          <w:top w:val="nil"/>
          <w:left w:val="nil"/>
          <w:bottom w:val="nil"/>
          <w:right w:val="nil"/>
          <w:between w:val="nil"/>
        </w:pBdr>
        <w:ind w:left="360" w:right="360"/>
        <w:jc w:val="both"/>
        <w:rPr>
          <w:color w:val="000000"/>
          <w:sz w:val="22"/>
          <w:szCs w:val="22"/>
        </w:rPr>
      </w:pPr>
    </w:p>
    <w:sectPr w:rsidR="00104405">
      <w:headerReference w:type="even" r:id="rId15"/>
      <w:headerReference w:type="default" r:id="rId16"/>
      <w:footerReference w:type="even" r:id="rId17"/>
      <w:footerReference w:type="default" r:id="rId18"/>
      <w:headerReference w:type="first" r:id="rId19"/>
      <w:footerReference w:type="first" r:id="rId20"/>
      <w:pgSz w:w="12240" w:h="15840"/>
      <w:pgMar w:top="709" w:right="1440" w:bottom="1276" w:left="1418" w:header="851" w:footer="63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69C" w:rsidRDefault="005C069C">
      <w:pPr>
        <w:spacing w:before="0" w:after="0"/>
      </w:pPr>
      <w:r>
        <w:separator/>
      </w:r>
    </w:p>
  </w:endnote>
  <w:endnote w:type="continuationSeparator" w:id="0">
    <w:p w:rsidR="005C069C" w:rsidRDefault="005C069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405" w:rsidRDefault="00104405">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405" w:rsidRDefault="005C069C">
    <w:pPr>
      <w:pBdr>
        <w:top w:val="nil"/>
        <w:left w:val="nil"/>
        <w:bottom w:val="nil"/>
        <w:right w:val="nil"/>
        <w:between w:val="nil"/>
      </w:pBdr>
      <w:tabs>
        <w:tab w:val="center" w:pos="4320"/>
        <w:tab w:val="right" w:pos="8640"/>
        <w:tab w:val="right" w:pos="9214"/>
      </w:tabs>
      <w:spacing w:before="120" w:after="0"/>
      <w:rPr>
        <w:b/>
        <w:color w:val="000000"/>
        <w:sz w:val="20"/>
        <w:szCs w:val="20"/>
      </w:rPr>
    </w:pPr>
    <w:r>
      <w:rPr>
        <w:b/>
        <w:color w:val="000000"/>
        <w:sz w:val="20"/>
        <w:szCs w:val="20"/>
      </w:rPr>
      <w:t>2021.1</w:t>
    </w:r>
    <w:r>
      <w:rPr>
        <w:color w:val="000000"/>
        <w:sz w:val="18"/>
        <w:szCs w:val="18"/>
      </w:rPr>
      <w:tab/>
      <w:t xml:space="preserve">Page </w:t>
    </w:r>
    <w:r>
      <w:rPr>
        <w:color w:val="000000"/>
        <w:sz w:val="18"/>
        <w:szCs w:val="18"/>
      </w:rPr>
      <w:fldChar w:fldCharType="begin"/>
    </w:r>
    <w:r>
      <w:rPr>
        <w:color w:val="000000"/>
        <w:sz w:val="18"/>
        <w:szCs w:val="18"/>
      </w:rPr>
      <w:instrText>PAGE</w:instrText>
    </w:r>
    <w:r w:rsidR="000652FE">
      <w:rPr>
        <w:color w:val="000000"/>
        <w:sz w:val="18"/>
        <w:szCs w:val="18"/>
      </w:rPr>
      <w:fldChar w:fldCharType="separate"/>
    </w:r>
    <w:r w:rsidR="000652FE">
      <w:rPr>
        <w:noProof/>
        <w:color w:val="000000"/>
        <w:sz w:val="18"/>
        <w:szCs w:val="18"/>
      </w:rPr>
      <w:t>3</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NUMPAGES</w:instrText>
    </w:r>
    <w:r w:rsidR="000652FE">
      <w:rPr>
        <w:color w:val="000000"/>
        <w:sz w:val="18"/>
        <w:szCs w:val="18"/>
      </w:rPr>
      <w:fldChar w:fldCharType="separate"/>
    </w:r>
    <w:r w:rsidR="000652FE">
      <w:rPr>
        <w:noProof/>
        <w:color w:val="000000"/>
        <w:sz w:val="18"/>
        <w:szCs w:val="18"/>
      </w:rPr>
      <w:t>4</w:t>
    </w:r>
    <w:r>
      <w:rPr>
        <w:color w:val="000000"/>
        <w:sz w:val="18"/>
        <w:szCs w:val="18"/>
      </w:rPr>
      <w:fldChar w:fldCharType="end"/>
    </w:r>
  </w:p>
  <w:p w:rsidR="00104405" w:rsidRDefault="005C069C">
    <w:pPr>
      <w:pBdr>
        <w:top w:val="nil"/>
        <w:left w:val="nil"/>
        <w:bottom w:val="nil"/>
        <w:right w:val="nil"/>
        <w:between w:val="nil"/>
      </w:pBdr>
      <w:tabs>
        <w:tab w:val="center" w:pos="4320"/>
        <w:tab w:val="right" w:pos="8640"/>
      </w:tabs>
      <w:spacing w:before="0" w:after="0"/>
      <w:rPr>
        <w:color w:val="000000"/>
      </w:rPr>
    </w:pPr>
    <w:r>
      <w:rPr>
        <w:color w:val="000000"/>
        <w:sz w:val="18"/>
        <w:szCs w:val="18"/>
      </w:rPr>
      <w:t>b8o3_contractnotice_simp_en.doc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405" w:rsidRDefault="00104405">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69C" w:rsidRDefault="005C069C">
      <w:pPr>
        <w:spacing w:before="0" w:after="0"/>
      </w:pPr>
      <w:r>
        <w:separator/>
      </w:r>
    </w:p>
  </w:footnote>
  <w:footnote w:type="continuationSeparator" w:id="0">
    <w:p w:rsidR="005C069C" w:rsidRDefault="005C069C">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405" w:rsidRDefault="00104405">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405" w:rsidRDefault="00104405">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405" w:rsidRDefault="00104405">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A2E"/>
    <w:multiLevelType w:val="multilevel"/>
    <w:tmpl w:val="B5AC1FAC"/>
    <w:lvl w:ilvl="0">
      <w:start w:val="1"/>
      <w:numFmt w:val="decimal"/>
      <w:pStyle w:val="PRAG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405"/>
    <w:rsid w:val="000652FE"/>
    <w:rsid w:val="00104405"/>
    <w:rsid w:val="005C0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577EF0-5E96-4E7B-933E-9CEC7A20A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widowControl w:val="0"/>
        <w:spacing w:before="100" w:after="1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napToGrid w:val="0"/>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qFormat/>
    <w:rsid w:val="007D6292"/>
    <w:pPr>
      <w:keepNext/>
      <w:widowControl/>
      <w:spacing w:before="120" w:after="120"/>
      <w:outlineLvl w:val="1"/>
    </w:pPr>
    <w:rPr>
      <w:rFonts w:ascii="Arial" w:hAnsi="Arial"/>
      <w:sz w:val="20"/>
      <w:lang w:val="fr-BE"/>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semiHidden/>
    <w:unhideWhenUsed/>
    <w:qFormat/>
    <w:rsid w:val="004916FF"/>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initionTerm">
    <w:name w:val="Definition Term"/>
    <w:basedOn w:val="Normal"/>
    <w:next w:val="DefinitionList"/>
    <w:pPr>
      <w:spacing w:before="0" w:after="0"/>
    </w:pPr>
  </w:style>
  <w:style w:type="paragraph" w:customStyle="1" w:styleId="DefinitionList">
    <w:name w:val="Definition List"/>
    <w:basedOn w:val="Normal"/>
    <w:next w:val="DefinitionTerm"/>
    <w:pPr>
      <w:spacing w:before="0" w:after="0"/>
      <w:ind w:left="360"/>
    </w:pPr>
  </w:style>
  <w:style w:type="character" w:customStyle="1" w:styleId="Definition">
    <w:name w:val="Definition"/>
    <w:rPr>
      <w:i/>
    </w:rPr>
  </w:style>
  <w:style w:type="paragraph" w:customStyle="1" w:styleId="H1">
    <w:name w:val="H1"/>
    <w:basedOn w:val="Normal"/>
    <w:next w:val="Normal"/>
    <w:pPr>
      <w:keepNext/>
      <w:outlineLvl w:val="1"/>
    </w:pPr>
    <w:rPr>
      <w:b/>
      <w:kern w:val="36"/>
      <w:sz w:val="48"/>
    </w:rPr>
  </w:style>
  <w:style w:type="paragraph" w:customStyle="1" w:styleId="H2">
    <w:name w:val="H2"/>
    <w:basedOn w:val="Normal"/>
    <w:next w:val="Normal"/>
    <w:pPr>
      <w:keepNext/>
      <w:outlineLvl w:val="2"/>
    </w:pPr>
    <w:rPr>
      <w:b/>
      <w:sz w:val="36"/>
    </w:rPr>
  </w:style>
  <w:style w:type="paragraph" w:customStyle="1" w:styleId="H3">
    <w:name w:val="H3"/>
    <w:basedOn w:val="Normal"/>
    <w:next w:val="Normal"/>
    <w:pPr>
      <w:keepNext/>
      <w:outlineLvl w:val="3"/>
    </w:pPr>
    <w:rPr>
      <w:b/>
      <w:sz w:val="28"/>
    </w:rPr>
  </w:style>
  <w:style w:type="paragraph" w:customStyle="1" w:styleId="H4">
    <w:name w:val="H4"/>
    <w:basedOn w:val="Normal"/>
    <w:next w:val="Normal"/>
    <w:pPr>
      <w:keepNext/>
      <w:outlineLvl w:val="4"/>
    </w:pPr>
    <w:rPr>
      <w:b/>
    </w:rPr>
  </w:style>
  <w:style w:type="paragraph" w:customStyle="1" w:styleId="H5">
    <w:name w:val="H5"/>
    <w:basedOn w:val="Normal"/>
    <w:next w:val="Normal"/>
    <w:pPr>
      <w:keepNext/>
      <w:outlineLvl w:val="5"/>
    </w:pPr>
    <w:rPr>
      <w:b/>
      <w:sz w:val="20"/>
    </w:rPr>
  </w:style>
  <w:style w:type="paragraph" w:customStyle="1" w:styleId="H6">
    <w:name w:val="H6"/>
    <w:basedOn w:val="Normal"/>
    <w:next w:val="Normal"/>
    <w:pPr>
      <w:keepNext/>
      <w:outlineLvl w:val="6"/>
    </w:pPr>
    <w:rPr>
      <w:b/>
      <w:sz w:val="16"/>
    </w:rPr>
  </w:style>
  <w:style w:type="paragraph" w:customStyle="1" w:styleId="Address">
    <w:name w:val="Address"/>
    <w:basedOn w:val="Normal"/>
    <w:next w:val="Normal"/>
    <w:pPr>
      <w:spacing w:before="0" w:after="0"/>
    </w:pPr>
    <w:rPr>
      <w:i/>
    </w:rPr>
  </w:style>
  <w:style w:type="paragraph" w:customStyle="1" w:styleId="Blockquote">
    <w:name w:val="Blockquote"/>
    <w:basedOn w:val="Normal"/>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Emphasis">
    <w:name w:val="Emphasis"/>
    <w:uiPriority w:val="20"/>
    <w:qFormat/>
    <w:rPr>
      <w:i/>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z-BottomofForm">
    <w:name w:val="HTML Bottom of Form"/>
    <w:next w:val="Normal"/>
    <w:hidden/>
    <w:pPr>
      <w:pBdr>
        <w:top w:val="double" w:sz="2" w:space="0" w:color="000000"/>
      </w:pBdr>
      <w:jc w:val="center"/>
    </w:pPr>
    <w:rPr>
      <w:rFonts w:ascii="Arial" w:hAnsi="Arial"/>
      <w:snapToGrid w:val="0"/>
      <w:vanish/>
      <w:sz w:val="16"/>
    </w:rPr>
  </w:style>
  <w:style w:type="paragraph" w:styleId="z-TopofForm">
    <w:name w:val="HTML Top of Form"/>
    <w:next w:val="Normal"/>
    <w:hidden/>
    <w:pPr>
      <w:pBdr>
        <w:bottom w:val="double" w:sz="2" w:space="0" w:color="000000"/>
      </w:pBdr>
      <w:jc w:val="center"/>
    </w:pPr>
    <w:rPr>
      <w:rFonts w:ascii="Arial" w:hAnsi="Arial"/>
      <w:snapToGrid w:val="0"/>
      <w:vanish/>
      <w:sz w:val="16"/>
    </w:rPr>
  </w:style>
  <w:style w:type="character" w:customStyle="1" w:styleId="Sample">
    <w:name w:val="Sample"/>
    <w:rPr>
      <w:rFonts w:ascii="Courier New" w:hAnsi="Courier New"/>
    </w:rPr>
  </w:style>
  <w:style w:type="character" w:styleId="Strong">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DocumentMap">
    <w:name w:val="Document Map"/>
    <w:basedOn w:val="Normal"/>
    <w:semiHidden/>
    <w:pPr>
      <w:shd w:val="clear" w:color="auto" w:fill="000080"/>
    </w:pPr>
    <w:rPr>
      <w:rFonts w:ascii="Tahoma" w:hAnsi="Tahoma"/>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rsid w:val="007F095B"/>
  </w:style>
  <w:style w:type="paragraph" w:styleId="BodyText3">
    <w:name w:val="Body Text 3"/>
    <w:basedOn w:val="Normal"/>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FootnoteText">
    <w:name w:val="footnote text"/>
    <w:basedOn w:val="Normal"/>
    <w:link w:val="FootnoteTextChar"/>
    <w:uiPriority w:val="99"/>
    <w:rsid w:val="001951FE"/>
    <w:rPr>
      <w:sz w:val="20"/>
    </w:rPr>
  </w:style>
  <w:style w:type="character" w:styleId="FootnoteReference">
    <w:name w:val="footnote reference"/>
    <w:uiPriority w:val="99"/>
    <w:qFormat/>
    <w:rsid w:val="001951FE"/>
    <w:rPr>
      <w:vertAlign w:val="superscript"/>
    </w:rPr>
  </w:style>
  <w:style w:type="character" w:customStyle="1" w:styleId="FooterChar">
    <w:name w:val="Footer Char"/>
    <w:link w:val="Footer"/>
    <w:rsid w:val="007727F3"/>
    <w:rPr>
      <w:snapToGrid w:val="0"/>
      <w:sz w:val="24"/>
      <w:lang w:val="en-US" w:eastAsia="en-US"/>
    </w:rPr>
  </w:style>
  <w:style w:type="paragraph" w:styleId="BalloonText">
    <w:name w:val="Balloon Text"/>
    <w:basedOn w:val="Normal"/>
    <w:link w:val="BalloonTextChar"/>
    <w:rsid w:val="00D240C3"/>
    <w:pPr>
      <w:spacing w:before="0" w:after="0"/>
    </w:pPr>
    <w:rPr>
      <w:rFonts w:ascii="Tahoma" w:hAnsi="Tahoma" w:cs="Tahoma"/>
      <w:sz w:val="16"/>
      <w:szCs w:val="16"/>
    </w:rPr>
  </w:style>
  <w:style w:type="character" w:customStyle="1" w:styleId="BalloonTextChar">
    <w:name w:val="Balloon Text Char"/>
    <w:link w:val="BalloonText"/>
    <w:rsid w:val="00D240C3"/>
    <w:rPr>
      <w:rFonts w:ascii="Tahoma" w:hAnsi="Tahoma" w:cs="Tahoma"/>
      <w:snapToGrid w:val="0"/>
      <w:sz w:val="16"/>
      <w:szCs w:val="16"/>
      <w:lang w:val="en-US" w:eastAsia="en-US"/>
    </w:rPr>
  </w:style>
  <w:style w:type="character" w:styleId="CommentReference">
    <w:name w:val="annotation reference"/>
    <w:rsid w:val="009B69BE"/>
    <w:rPr>
      <w:sz w:val="16"/>
      <w:szCs w:val="16"/>
    </w:rPr>
  </w:style>
  <w:style w:type="paragraph" w:styleId="CommentText">
    <w:name w:val="annotation text"/>
    <w:basedOn w:val="Normal"/>
    <w:link w:val="CommentTextChar"/>
    <w:rsid w:val="009B69BE"/>
    <w:rPr>
      <w:sz w:val="20"/>
    </w:rPr>
  </w:style>
  <w:style w:type="character" w:customStyle="1" w:styleId="CommentTextChar">
    <w:name w:val="Comment Text Char"/>
    <w:link w:val="CommentText"/>
    <w:rsid w:val="009B69BE"/>
    <w:rPr>
      <w:snapToGrid w:val="0"/>
      <w:lang w:val="en-US" w:eastAsia="en-US"/>
    </w:rPr>
  </w:style>
  <w:style w:type="paragraph" w:styleId="CommentSubject">
    <w:name w:val="annotation subject"/>
    <w:basedOn w:val="CommentText"/>
    <w:next w:val="CommentText"/>
    <w:link w:val="CommentSubjectChar"/>
    <w:rsid w:val="009B69BE"/>
    <w:rPr>
      <w:b/>
      <w:bCs/>
    </w:rPr>
  </w:style>
  <w:style w:type="character" w:customStyle="1" w:styleId="CommentSubjectChar">
    <w:name w:val="Comment Subject Char"/>
    <w:link w:val="CommentSubject"/>
    <w:rsid w:val="009B69BE"/>
    <w:rPr>
      <w:b/>
      <w:bCs/>
      <w:snapToGrid w:val="0"/>
      <w:lang w:val="en-US" w:eastAsia="en-US"/>
    </w:rPr>
  </w:style>
  <w:style w:type="paragraph" w:customStyle="1" w:styleId="PRAGHeading2">
    <w:name w:val="PRAG Heading 2"/>
    <w:basedOn w:val="Normal"/>
    <w:rsid w:val="00971962"/>
    <w:pPr>
      <w:numPr>
        <w:numId w:val="1"/>
      </w:numPr>
    </w:pPr>
  </w:style>
  <w:style w:type="paragraph" w:styleId="Subtitle">
    <w:name w:val="Subtitle"/>
    <w:basedOn w:val="Normal"/>
    <w:next w:val="Normal"/>
    <w:link w:val="SubtitleChar"/>
    <w:pPr>
      <w:widowControl/>
      <w:spacing w:before="0" w:after="0"/>
      <w:jc w:val="center"/>
    </w:pPr>
    <w:rPr>
      <w:b/>
      <w:sz w:val="28"/>
      <w:szCs w:val="28"/>
    </w:rPr>
  </w:style>
  <w:style w:type="character" w:customStyle="1" w:styleId="SubtitleChar">
    <w:name w:val="Subtitle Char"/>
    <w:link w:val="Subtitle"/>
    <w:rsid w:val="00A36F1C"/>
    <w:rPr>
      <w:b/>
      <w:sz w:val="28"/>
      <w:lang w:val="fr-BE"/>
    </w:rPr>
  </w:style>
  <w:style w:type="character" w:customStyle="1" w:styleId="FootnoteTextChar">
    <w:name w:val="Footnote Text Char"/>
    <w:link w:val="FootnoteText"/>
    <w:uiPriority w:val="99"/>
    <w:rsid w:val="00B9793F"/>
    <w:rPr>
      <w:snapToGrid w:val="0"/>
      <w:lang w:val="en-US"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Normal"/>
    <w:rsid w:val="00B9793F"/>
    <w:pPr>
      <w:widowControl/>
      <w:spacing w:beforeAutospacing="1" w:afterAutospacing="1"/>
    </w:pPr>
    <w:rPr>
      <w:snapToGrid/>
      <w:lang w:val="fr-BE" w:eastAsia="fr-BE"/>
    </w:rPr>
  </w:style>
  <w:style w:type="character" w:customStyle="1" w:styleId="highlight">
    <w:name w:val="highlight"/>
    <w:rsid w:val="00B9793F"/>
    <w:rPr>
      <w:rFonts w:cs="Times New Roman"/>
    </w:rPr>
  </w:style>
  <w:style w:type="paragraph" w:styleId="ListParagraph">
    <w:name w:val="List Paragraph"/>
    <w:basedOn w:val="Normal"/>
    <w:uiPriority w:val="34"/>
    <w:qFormat/>
    <w:rsid w:val="00B9793F"/>
    <w:pPr>
      <w:ind w:left="720"/>
    </w:pPr>
  </w:style>
  <w:style w:type="paragraph" w:styleId="Revision">
    <w:name w:val="Revision"/>
    <w:hidden/>
    <w:uiPriority w:val="99"/>
    <w:semiHidden/>
    <w:rsid w:val="00D97139"/>
    <w:rPr>
      <w:snapToGrid w:val="0"/>
    </w:rPr>
  </w:style>
  <w:style w:type="character" w:customStyle="1" w:styleId="Heading4Char">
    <w:name w:val="Heading 4 Char"/>
    <w:basedOn w:val="DefaultParagraphFont"/>
    <w:link w:val="Heading4"/>
    <w:semiHidden/>
    <w:rsid w:val="004916FF"/>
    <w:rPr>
      <w:rFonts w:asciiTheme="minorHAnsi" w:eastAsiaTheme="minorEastAsia" w:hAnsiTheme="minorHAnsi" w:cstheme="minorBidi"/>
      <w:b/>
      <w:bCs/>
      <w:snapToGrid w:val="0"/>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ec.europa.eu/europeaid/prag/annexes.do?group=B"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c.europa.eu/europeaid/prag/annexes.do?chapterTitleCode=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oWfpDx8kalmgZDJet49zcxyilw==">AMUW2mXUK8bcPjIXqxKx0znjrz1Ce2P1dp78iQfoC4THZMLkERQQ1TuJoJ36zRu417rPe86W4R64AnBE3Evup+lH5XUX4QtVokiukhMszb9uRK9tvsMx7t/S9JF3TNZuqrofEMx5A1OZt5kWJ7PF2AUdyqMf0jFv1w==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1313</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ramatje</dc:creator>
  <cp:lastModifiedBy>Achizitii</cp:lastModifiedBy>
  <cp:revision>2</cp:revision>
  <dcterms:created xsi:type="dcterms:W3CDTF">2022-08-22T07:26:00Z</dcterms:created>
  <dcterms:modified xsi:type="dcterms:W3CDTF">2022-08-22T07:26:00Z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y fmtid="{D5CDD505-2E9C-101B-9397-08002B2CF9AE}" pid="4" name="ContentTypeId">
    <vt:lpwstr>0x010100724FDE23FB365D4CB8B2901107175F9F</vt:lpwstr>
  </property>
</Properties>
</file>